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44"/>
          <w:szCs w:val="44"/>
          <w:highlight w:val="none"/>
          <w:lang w:eastAsia="zh-CN"/>
        </w:rPr>
      </w:pPr>
      <w:r>
        <w:rPr>
          <w:rFonts w:hint="eastAsia" w:ascii="仿宋" w:hAnsi="仿宋" w:eastAsia="仿宋" w:cs="仿宋"/>
          <w:color w:val="000000"/>
          <w:sz w:val="44"/>
          <w:szCs w:val="44"/>
          <w:highlight w:val="none"/>
        </w:rPr>
        <w:t>海</w:t>
      </w:r>
      <w:r>
        <w:rPr>
          <w:rFonts w:hint="eastAsia" w:ascii="仿宋" w:hAnsi="仿宋" w:eastAsia="仿宋" w:cs="仿宋"/>
          <w:color w:val="000000"/>
          <w:sz w:val="44"/>
          <w:szCs w:val="44"/>
          <w:highlight w:val="none"/>
          <w:lang w:val="en-US" w:eastAsia="zh-CN"/>
        </w:rPr>
        <w:t>口市</w:t>
      </w:r>
      <w:r>
        <w:rPr>
          <w:rFonts w:hint="eastAsia" w:ascii="仿宋" w:hAnsi="仿宋" w:eastAsia="仿宋" w:cs="仿宋"/>
          <w:color w:val="000000"/>
          <w:sz w:val="44"/>
          <w:szCs w:val="44"/>
          <w:highlight w:val="none"/>
          <w:lang w:eastAsia="zh-CN"/>
        </w:rPr>
        <w:t>森林病虫害防治检疫站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2022年度部门决算公开报告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44"/>
          <w:szCs w:val="44"/>
          <w:highlight w:val="none"/>
        </w:rPr>
      </w:pPr>
      <w:bookmarkStart w:id="0" w:name="_Toc11440_WPSOffice_Type2"/>
      <w:r>
        <w:rPr>
          <w:rFonts w:hint="eastAsia" w:ascii="仿宋" w:hAnsi="仿宋" w:eastAsia="仿宋" w:cs="仿宋"/>
          <w:color w:val="000000"/>
          <w:sz w:val="44"/>
          <w:szCs w:val="44"/>
          <w:highlight w:val="none"/>
        </w:rPr>
        <w:t>目  录</w:t>
      </w:r>
    </w:p>
    <w:p>
      <w:pPr>
        <w:pStyle w:val="7"/>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_Toc1704_WPSOffice_Level1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第一部分 基本情况</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一、部门</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_Toc28253_WPSOffice_Level1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第二部分  2022年度部门决算公开表</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_Toc27590_WPSOffice_Level1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第三部分  2022年度部门决算情况说明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8"/>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8"/>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7"/>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b/>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_Toc15425_WPSOffice_Level1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第四部分  名词解释</w:t>
      </w:r>
      <w:r>
        <w:rPr>
          <w:rFonts w:hint="eastAsia" w:ascii="仿宋" w:hAnsi="仿宋" w:eastAsia="仿宋" w:cs="仿宋"/>
          <w:color w:val="000000"/>
          <w:sz w:val="32"/>
          <w:szCs w:val="32"/>
          <w:highlight w:val="none"/>
        </w:rPr>
        <w:tab/>
      </w:r>
      <w:bookmarkStart w:id="1" w:name="_Toc15425_WPSOffice_Level1Page"/>
      <w:r>
        <w:rPr>
          <w:rFonts w:hint="eastAsia" w:ascii="仿宋" w:hAnsi="仿宋" w:eastAsia="仿宋" w:cs="仿宋"/>
          <w:color w:val="000000"/>
          <w:sz w:val="32"/>
          <w:szCs w:val="32"/>
          <w:highlight w:val="none"/>
        </w:rPr>
        <w:t>1</w:t>
      </w:r>
      <w:bookmarkEnd w:id="1"/>
      <w:r>
        <w:rPr>
          <w:rFonts w:hint="eastAsia" w:ascii="仿宋" w:hAnsi="仿宋" w:eastAsia="仿宋" w:cs="仿宋"/>
          <w:color w:val="000000"/>
          <w:sz w:val="32"/>
          <w:szCs w:val="32"/>
          <w:highlight w:val="none"/>
        </w:rPr>
        <w:fldChar w:fldCharType="end"/>
      </w:r>
      <w:bookmarkEnd w:id="0"/>
      <w:r>
        <w:rPr>
          <w:rFonts w:hint="eastAsia" w:ascii="仿宋" w:hAnsi="仿宋" w:eastAsia="仿宋" w:cs="仿宋"/>
          <w:color w:val="000000"/>
          <w:sz w:val="32"/>
          <w:szCs w:val="32"/>
          <w:highlight w:val="none"/>
          <w:lang w:val="en-US" w:eastAsia="zh-CN"/>
        </w:rPr>
        <w:t>5</w:t>
      </w:r>
    </w:p>
    <w:p>
      <w:pPr>
        <w:jc w:val="center"/>
        <w:rPr>
          <w:rFonts w:hint="eastAsia" w:ascii="仿宋" w:hAnsi="仿宋" w:eastAsia="仿宋" w:cs="仿宋"/>
          <w:color w:val="000000"/>
          <w:sz w:val="32"/>
          <w:szCs w:val="32"/>
          <w:highlight w:val="none"/>
        </w:rPr>
      </w:pPr>
      <w:bookmarkStart w:id="2" w:name="_Toc10049_WPSOffice_Level1"/>
      <w:bookmarkStart w:id="3" w:name="_Toc23465_WPSOffice_Level1"/>
      <w:bookmarkStart w:id="4" w:name="_Toc32433_WPSOffice_Level1"/>
      <w:bookmarkStart w:id="5" w:name="_Toc22941_WPSOffice_Level1"/>
      <w:bookmarkStart w:id="6" w:name="_Toc10720_WPSOffice_Level1"/>
      <w:bookmarkStart w:id="7" w:name="_Toc1704_WPSOffice_Level1"/>
      <w:bookmarkStart w:id="8" w:name="_Toc24238_WPSOffice_Level2"/>
      <w:bookmarkStart w:id="9" w:name="_Toc26580_WPSOffice_Level2"/>
      <w:bookmarkStart w:id="10" w:name="_Toc14159_WPSOffice_Level2"/>
      <w:bookmarkStart w:id="11" w:name="_Toc20274_WPSOffice_Level2"/>
      <w:bookmarkStart w:id="12" w:name="_Toc20205_WPSOffice_Level2"/>
      <w:bookmarkStart w:id="13" w:name="_Toc32622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br w:type="page"/>
      </w:r>
      <w:r>
        <w:rPr>
          <w:rFonts w:hint="eastAsia" w:ascii="仿宋" w:hAnsi="仿宋" w:eastAsia="仿宋" w:cs="仿宋"/>
          <w:color w:val="000000"/>
          <w:sz w:val="32"/>
          <w:szCs w:val="32"/>
          <w:highlight w:val="none"/>
        </w:rPr>
        <w:t xml:space="preserve">第一部分  </w:t>
      </w:r>
      <w:bookmarkEnd w:id="2"/>
      <w:bookmarkEnd w:id="3"/>
      <w:bookmarkEnd w:id="4"/>
      <w:bookmarkEnd w:id="5"/>
      <w:bookmarkEnd w:id="6"/>
      <w:bookmarkEnd w:id="7"/>
      <w:r>
        <w:rPr>
          <w:rFonts w:hint="eastAsia" w:ascii="仿宋" w:hAnsi="仿宋" w:eastAsia="仿宋" w:cs="仿宋"/>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部门</w:t>
      </w:r>
      <w:bookmarkEnd w:id="8"/>
      <w:r>
        <w:rPr>
          <w:rFonts w:hint="eastAsia" w:ascii="仿宋" w:hAnsi="仿宋" w:eastAsia="仿宋" w:cs="仿宋"/>
          <w:color w:val="000000"/>
          <w:sz w:val="32"/>
          <w:szCs w:val="32"/>
          <w:highlight w:val="none"/>
        </w:rPr>
        <w:t>（单位）职责</w:t>
      </w:r>
      <w:bookmarkEnd w:id="9"/>
      <w:bookmarkEnd w:id="10"/>
      <w:bookmarkEnd w:id="11"/>
      <w:bookmarkEnd w:id="12"/>
      <w:bookmarkEnd w:id="13"/>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4C5157"/>
          <w:spacing w:val="0"/>
          <w:sz w:val="24"/>
          <w:szCs w:val="24"/>
          <w:lang w:eastAsia="zh-CN"/>
        </w:rPr>
      </w:pPr>
      <w:r>
        <w:rPr>
          <w:rFonts w:hint="eastAsia" w:ascii="仿宋" w:hAnsi="仿宋" w:eastAsia="仿宋" w:cs="仿宋"/>
          <w:i w:val="0"/>
          <w:iCs w:val="0"/>
          <w:caps w:val="0"/>
          <w:color w:val="4C5157"/>
          <w:spacing w:val="0"/>
          <w:sz w:val="32"/>
          <w:szCs w:val="32"/>
          <w:shd w:val="clear" w:fill="FFFFFF"/>
        </w:rPr>
        <w:t>（一）为林业发展提供病虫害防治检疫保障</w:t>
      </w:r>
      <w:r>
        <w:rPr>
          <w:rFonts w:hint="eastAsia" w:ascii="仿宋" w:hAnsi="仿宋" w:eastAsia="仿宋" w:cs="仿宋"/>
          <w:i w:val="0"/>
          <w:iCs w:val="0"/>
          <w:caps w:val="0"/>
          <w:color w:val="4C5157"/>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4C5157"/>
          <w:spacing w:val="0"/>
          <w:sz w:val="24"/>
          <w:szCs w:val="24"/>
          <w:lang w:eastAsia="zh-CN"/>
        </w:rPr>
      </w:pPr>
      <w:r>
        <w:rPr>
          <w:rFonts w:hint="eastAsia" w:ascii="仿宋" w:hAnsi="仿宋" w:eastAsia="仿宋" w:cs="仿宋"/>
          <w:i w:val="0"/>
          <w:iCs w:val="0"/>
          <w:caps w:val="0"/>
          <w:color w:val="4C5157"/>
          <w:spacing w:val="0"/>
          <w:sz w:val="32"/>
          <w:szCs w:val="32"/>
          <w:shd w:val="clear" w:fill="FFFFFF"/>
        </w:rPr>
        <w:t>（二）负责监测和掌握全市森林病虫害的情况，做好森林病虫害的预测预报工作</w:t>
      </w:r>
      <w:r>
        <w:rPr>
          <w:rFonts w:hint="eastAsia" w:ascii="仿宋" w:hAnsi="仿宋" w:eastAsia="仿宋" w:cs="仿宋"/>
          <w:i w:val="0"/>
          <w:iCs w:val="0"/>
          <w:caps w:val="0"/>
          <w:color w:val="4C5157"/>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4C5157"/>
          <w:spacing w:val="0"/>
          <w:sz w:val="24"/>
          <w:szCs w:val="24"/>
          <w:lang w:eastAsia="zh-CN"/>
        </w:rPr>
      </w:pPr>
      <w:r>
        <w:rPr>
          <w:rFonts w:hint="eastAsia" w:ascii="仿宋" w:hAnsi="仿宋" w:eastAsia="仿宋" w:cs="仿宋"/>
          <w:i w:val="0"/>
          <w:iCs w:val="0"/>
          <w:caps w:val="0"/>
          <w:color w:val="4C5157"/>
          <w:spacing w:val="0"/>
          <w:sz w:val="32"/>
          <w:szCs w:val="32"/>
          <w:shd w:val="clear" w:fill="FFFFFF"/>
        </w:rPr>
        <w:t>（三）负责森林病虫害防治及检疫的宣传工作</w:t>
      </w:r>
      <w:r>
        <w:rPr>
          <w:rFonts w:hint="eastAsia" w:ascii="仿宋" w:hAnsi="仿宋" w:eastAsia="仿宋" w:cs="仿宋"/>
          <w:i w:val="0"/>
          <w:iCs w:val="0"/>
          <w:caps w:val="0"/>
          <w:color w:val="4C5157"/>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color w:val="000000"/>
          <w:sz w:val="32"/>
          <w:szCs w:val="32"/>
          <w:highlight w:val="none"/>
        </w:rPr>
      </w:pPr>
      <w:r>
        <w:rPr>
          <w:rFonts w:hint="eastAsia" w:ascii="仿宋" w:hAnsi="仿宋" w:eastAsia="仿宋" w:cs="仿宋"/>
          <w:i w:val="0"/>
          <w:iCs w:val="0"/>
          <w:caps w:val="0"/>
          <w:color w:val="4C5157"/>
          <w:spacing w:val="0"/>
          <w:sz w:val="32"/>
          <w:szCs w:val="32"/>
          <w:shd w:val="clear" w:fill="FFFFFF"/>
        </w:rPr>
        <w:t>（四）承办上级部门交办的其他工作。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bookmarkStart w:id="14" w:name="_Toc24474_WPSOffice_Level2"/>
      <w:bookmarkStart w:id="15" w:name="_Toc4833_WPSOffice_Level2"/>
      <w:bookmarkStart w:id="16" w:name="_Toc24059_WPSOffice_Level2"/>
      <w:bookmarkStart w:id="17" w:name="_Toc6572_WPSOffice_Level2"/>
      <w:bookmarkStart w:id="18" w:name="_Toc17796_WPSOffice_Level2"/>
      <w:r>
        <w:rPr>
          <w:rFonts w:hint="eastAsia" w:ascii="仿宋" w:hAnsi="仿宋" w:eastAsia="仿宋" w:cs="仿宋"/>
          <w:color w:val="000000"/>
          <w:sz w:val="32"/>
          <w:szCs w:val="32"/>
          <w:highlight w:val="none"/>
        </w:rPr>
        <w:t>二、机构设置</w:t>
      </w:r>
      <w:bookmarkEnd w:id="14"/>
      <w:bookmarkEnd w:id="15"/>
      <w:bookmarkEnd w:id="16"/>
      <w:bookmarkEnd w:id="17"/>
      <w:bookmarkEnd w:id="18"/>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0"/>
        <w:jc w:val="left"/>
        <w:rPr>
          <w:rFonts w:hint="eastAsia" w:ascii="仿宋" w:hAnsi="仿宋" w:eastAsia="仿宋" w:cs="仿宋"/>
          <w:i w:val="0"/>
          <w:iCs w:val="0"/>
          <w:caps w:val="0"/>
          <w:color w:val="4C5157"/>
          <w:spacing w:val="0"/>
          <w:sz w:val="24"/>
          <w:szCs w:val="24"/>
        </w:rPr>
      </w:pPr>
      <w:r>
        <w:rPr>
          <w:rFonts w:hint="eastAsia" w:ascii="仿宋" w:hAnsi="仿宋" w:eastAsia="仿宋" w:cs="仿宋"/>
          <w:i w:val="0"/>
          <w:iCs w:val="0"/>
          <w:caps w:val="0"/>
          <w:color w:val="4C5157"/>
          <w:spacing w:val="0"/>
          <w:sz w:val="32"/>
          <w:szCs w:val="32"/>
          <w:shd w:val="clear" w:fill="FFFFFF"/>
        </w:rPr>
        <w:t>纳入海口市森林病虫害防治检疫站202</w:t>
      </w:r>
      <w:r>
        <w:rPr>
          <w:rFonts w:hint="eastAsia" w:ascii="仿宋" w:hAnsi="仿宋" w:eastAsia="仿宋" w:cs="仿宋"/>
          <w:i w:val="0"/>
          <w:iCs w:val="0"/>
          <w:caps w:val="0"/>
          <w:color w:val="4C5157"/>
          <w:spacing w:val="0"/>
          <w:sz w:val="32"/>
          <w:szCs w:val="32"/>
          <w:shd w:val="clear" w:fill="FFFFFF"/>
          <w:lang w:val="en-US" w:eastAsia="zh-CN"/>
        </w:rPr>
        <w:t>2</w:t>
      </w:r>
      <w:r>
        <w:rPr>
          <w:rFonts w:hint="eastAsia" w:ascii="仿宋" w:hAnsi="仿宋" w:eastAsia="仿宋" w:cs="仿宋"/>
          <w:i w:val="0"/>
          <w:iCs w:val="0"/>
          <w:caps w:val="0"/>
          <w:color w:val="4C5157"/>
          <w:spacing w:val="0"/>
          <w:sz w:val="32"/>
          <w:szCs w:val="32"/>
          <w:shd w:val="clear" w:fill="FFFFFF"/>
        </w:rPr>
        <w:t>年度部门决算编制范围的二级预算单位，无内设机构。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bookmarkStart w:id="19" w:name="_Toc6234_WPSOffice_Level1"/>
      <w:bookmarkStart w:id="20" w:name="_Toc30451_WPSOffice_Level1"/>
      <w:bookmarkStart w:id="21" w:name="_Toc28253_WPSOffice_Level1"/>
      <w:bookmarkStart w:id="22" w:name="_Toc30690_WPSOffice_Level1"/>
      <w:bookmarkStart w:id="23" w:name="_Toc8164_WPSOffice_Level1"/>
      <w:bookmarkStart w:id="24" w:name="_Toc15521_WPSOffice_Level1"/>
      <w:bookmarkStart w:id="25" w:name="_Toc6211_WPSOffice_Level2"/>
      <w:bookmarkStart w:id="26" w:name="_Toc32695_WPSOffice_Level2"/>
      <w:bookmarkStart w:id="27" w:name="_Toc4029_WPSOffice_Level2"/>
      <w:bookmarkStart w:id="28" w:name="_Toc32472_WPSOffice_Level2"/>
      <w:bookmarkStart w:id="29" w:name="_Toc8867_WPSOffice_Level2"/>
      <w:bookmarkStart w:id="30" w:name="_Toc11518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第二部分  2022年度部门决算公开报表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bookmarkStart w:id="31" w:name="_Toc14349_WPSOffice_Level2"/>
      <w:bookmarkStart w:id="32" w:name="_Toc30334_WPSOffice_Level2"/>
      <w:bookmarkStart w:id="33" w:name="_Toc23139_WPSOffice_Level2"/>
      <w:bookmarkStart w:id="34" w:name="_Toc25608_WPSOffice_Level2"/>
      <w:bookmarkStart w:id="35" w:name="_Toc28622_WPSOffice_Level2"/>
      <w:bookmarkStart w:id="36" w:name="_Toc26621_WPSOffice_Level2"/>
      <w:r>
        <w:rPr>
          <w:rFonts w:hint="eastAsia" w:ascii="仿宋" w:hAnsi="仿宋" w:eastAsia="仿宋" w:cs="仿宋"/>
          <w:color w:val="000000"/>
          <w:sz w:val="32"/>
          <w:szCs w:val="32"/>
          <w:highlight w:val="none"/>
        </w:rPr>
        <w:t>二、收入决算公开表</w:t>
      </w:r>
      <w:bookmarkEnd w:id="31"/>
      <w:bookmarkEnd w:id="32"/>
      <w:bookmarkEnd w:id="33"/>
      <w:bookmarkEnd w:id="34"/>
      <w:bookmarkEnd w:id="35"/>
      <w:bookmarkEnd w:id="36"/>
      <w:bookmarkStart w:id="37" w:name="_Toc13854_WPSOffice_Level2"/>
      <w:bookmarkStart w:id="38" w:name="_Toc17858_WPSOffice_Level2"/>
      <w:bookmarkStart w:id="39" w:name="_Toc14658_WPSOffice_Level2"/>
      <w:bookmarkStart w:id="40" w:name="_Toc17626_WPSOffice_Level2"/>
      <w:bookmarkStart w:id="41" w:name="_Toc3262_WPSOffice_Level2"/>
      <w:bookmarkStart w:id="42" w:name="_Toc5489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三、支出决算公开表</w:t>
      </w:r>
      <w:bookmarkEnd w:id="37"/>
      <w:bookmarkEnd w:id="38"/>
      <w:bookmarkEnd w:id="39"/>
      <w:bookmarkEnd w:id="40"/>
      <w:bookmarkEnd w:id="41"/>
      <w:bookmarkEnd w:id="42"/>
      <w:bookmarkStart w:id="43" w:name="_Toc13701_WPSOffice_Level2"/>
      <w:bookmarkStart w:id="44" w:name="_Toc4265_WPSOffice_Level2"/>
      <w:bookmarkStart w:id="45" w:name="_Toc21415_WPSOffice_Level2"/>
      <w:bookmarkStart w:id="46" w:name="_Toc7988_WPSOffice_Level2"/>
      <w:bookmarkStart w:id="47" w:name="_Toc23493_WPSOffice_Level2"/>
      <w:bookmarkStart w:id="48" w:name="_Toc23591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bookmarkStart w:id="49" w:name="_Toc25166_WPSOffice_Level2"/>
      <w:bookmarkStart w:id="50" w:name="_Toc7879_WPSOffice_Level2"/>
      <w:bookmarkStart w:id="51" w:name="_Toc23829_WPSOffice_Level2"/>
      <w:bookmarkStart w:id="52" w:name="_Toc22783_WPSOffice_Level2"/>
      <w:bookmarkStart w:id="53" w:name="_Toc13516_WPSOffice_Level2"/>
      <w:bookmarkStart w:id="54" w:name="_Toc2158_WPSOffice_Level2"/>
      <w:r>
        <w:rPr>
          <w:rFonts w:hint="eastAsia" w:ascii="仿宋" w:hAnsi="仿宋" w:eastAsia="仿宋" w:cs="仿宋"/>
          <w:color w:val="000000"/>
          <w:sz w:val="32"/>
          <w:szCs w:val="32"/>
          <w:highlight w:val="none"/>
        </w:rPr>
        <w:t>五、一般公共预算财政拨款收入支出决算</w:t>
      </w:r>
      <w:bookmarkEnd w:id="49"/>
      <w:bookmarkEnd w:id="50"/>
      <w:bookmarkEnd w:id="51"/>
      <w:bookmarkEnd w:id="52"/>
      <w:r>
        <w:rPr>
          <w:rFonts w:hint="eastAsia" w:ascii="仿宋" w:hAnsi="仿宋" w:eastAsia="仿宋" w:cs="仿宋"/>
          <w:color w:val="000000"/>
          <w:sz w:val="32"/>
          <w:szCs w:val="32"/>
          <w:highlight w:val="none"/>
        </w:rPr>
        <w:t>公开表</w:t>
      </w:r>
      <w:bookmarkEnd w:id="53"/>
      <w:bookmarkEnd w:id="54"/>
      <w:bookmarkStart w:id="55" w:name="_Toc2632_WPSOffice_Level2"/>
      <w:bookmarkStart w:id="56" w:name="_Toc25362_WPSOffice_Level2"/>
      <w:bookmarkStart w:id="57" w:name="_Toc5343_WPSOffice_Level2"/>
      <w:bookmarkStart w:id="58" w:name="_Toc17283_WPSOffice_Level2"/>
      <w:bookmarkStart w:id="59" w:name="_Toc17833_WPSOffice_Level2"/>
      <w:bookmarkStart w:id="60" w:name="_Toc837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六、一般公共预算财政拨款基本支出决算</w:t>
      </w:r>
      <w:bookmarkEnd w:id="55"/>
      <w:bookmarkEnd w:id="56"/>
      <w:bookmarkEnd w:id="57"/>
      <w:bookmarkEnd w:id="58"/>
      <w:bookmarkEnd w:id="59"/>
      <w:bookmarkEnd w:id="60"/>
      <w:r>
        <w:rPr>
          <w:rFonts w:hint="eastAsia" w:ascii="仿宋" w:hAnsi="仿宋" w:eastAsia="仿宋" w:cs="仿宋"/>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仿宋" w:hAnsi="仿宋" w:eastAsia="仿宋" w:cs="仿宋"/>
          <w:color w:val="000000"/>
          <w:sz w:val="32"/>
          <w:szCs w:val="32"/>
          <w:highlight w:val="none"/>
        </w:rPr>
      </w:pPr>
      <w:bookmarkStart w:id="61" w:name="_Toc1533_WPSOffice_Level2"/>
      <w:bookmarkStart w:id="62" w:name="_Toc21310_WPSOffice_Level2"/>
      <w:bookmarkStart w:id="63" w:name="_Toc5594_WPSOffice_Level2"/>
      <w:bookmarkStart w:id="64" w:name="_Toc13345_WPSOffice_Level2"/>
      <w:bookmarkStart w:id="65" w:name="_Toc6020_WPSOffice_Level2"/>
      <w:bookmarkStart w:id="66" w:name="_Toc11799_WPSOffice_Level2"/>
      <w:r>
        <w:rPr>
          <w:rFonts w:hint="eastAsia" w:ascii="仿宋" w:hAnsi="仿宋" w:eastAsia="仿宋" w:cs="仿宋"/>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仿宋" w:hAnsi="仿宋" w:eastAsia="仿宋" w:cs="仿宋"/>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highlight w:val="none"/>
        </w:rPr>
      </w:pPr>
      <w:bookmarkStart w:id="67" w:name="_Toc1820_WPSOffice_Level2"/>
      <w:bookmarkStart w:id="68" w:name="_Toc19961_WPSOffice_Level2"/>
      <w:bookmarkStart w:id="69" w:name="_Toc9377_WPSOffice_Level2"/>
      <w:bookmarkStart w:id="70" w:name="_Toc29886_WPSOffice_Level2"/>
      <w:r>
        <w:rPr>
          <w:rFonts w:hint="eastAsia" w:ascii="仿宋" w:hAnsi="仿宋" w:eastAsia="仿宋" w:cs="仿宋"/>
          <w:color w:val="000000"/>
          <w:sz w:val="32"/>
          <w:szCs w:val="32"/>
          <w:highlight w:val="none"/>
        </w:rPr>
        <w:t>九、财政拨款“三公”经费支出决算</w:t>
      </w:r>
      <w:bookmarkEnd w:id="67"/>
      <w:bookmarkEnd w:id="68"/>
      <w:bookmarkEnd w:id="69"/>
      <w:bookmarkEnd w:id="70"/>
      <w:r>
        <w:rPr>
          <w:rFonts w:hint="eastAsia" w:ascii="仿宋" w:hAnsi="仿宋" w:eastAsia="仿宋" w:cs="仿宋"/>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highlight w:val="none"/>
        </w:rPr>
      </w:pPr>
      <w:r>
        <w:rPr>
          <w:rFonts w:hint="eastAsia" w:ascii="仿宋" w:hAnsi="仿宋" w:eastAsia="仿宋" w:cs="仿宋"/>
          <w:color w:val="000000"/>
          <w:w w:val="96"/>
          <w:sz w:val="32"/>
          <w:szCs w:val="32"/>
          <w:highlight w:val="none"/>
        </w:rPr>
        <w:t>以上报表见附件</w:t>
      </w:r>
      <w:r>
        <w:rPr>
          <w:rFonts w:hint="eastAsia" w:ascii="仿宋" w:hAnsi="仿宋" w:eastAsia="仿宋" w:cs="仿宋"/>
          <w:color w:val="000000"/>
          <w:w w:val="96"/>
          <w:sz w:val="32"/>
          <w:szCs w:val="32"/>
          <w:highlight w:val="none"/>
          <w:lang w:val="en-US" w:eastAsia="zh-CN"/>
        </w:rPr>
        <w:t>1</w:t>
      </w:r>
      <w:r>
        <w:rPr>
          <w:rFonts w:hint="eastAsia" w:ascii="仿宋" w:hAnsi="仿宋" w:eastAsia="仿宋" w:cs="仿宋"/>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bookmarkStart w:id="71" w:name="_Toc31264_WPSOffice_Level1"/>
      <w:bookmarkStart w:id="72" w:name="_Toc28629_WPSOffice_Level1"/>
      <w:bookmarkStart w:id="73" w:name="_Toc29683_WPSOffice_Level1"/>
      <w:bookmarkStart w:id="74" w:name="_Toc4402_WPSOffice_Level1"/>
      <w:bookmarkStart w:id="75" w:name="_Toc16686_WPSOffice_Level1"/>
      <w:bookmarkStart w:id="76" w:name="_Toc27590_WPSOffice_Level1"/>
      <w:r>
        <w:rPr>
          <w:rFonts w:hint="eastAsia" w:ascii="仿宋" w:hAnsi="仿宋" w:eastAsia="仿宋" w:cs="仿宋"/>
          <w:color w:val="000000"/>
          <w:sz w:val="32"/>
          <w:szCs w:val="32"/>
          <w:highlight w:val="none"/>
        </w:rPr>
        <w:t>第三部分  2022年度部门决算情况说明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一、收入支出总体情况说明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2022年度收入总计</w:t>
      </w:r>
      <w:r>
        <w:rPr>
          <w:rFonts w:hint="eastAsia" w:ascii="仿宋" w:hAnsi="仿宋" w:eastAsia="仿宋" w:cs="仿宋"/>
          <w:color w:val="000000"/>
          <w:sz w:val="32"/>
          <w:szCs w:val="32"/>
          <w:highlight w:val="none"/>
          <w:lang w:val="en-US" w:eastAsia="zh-CN"/>
        </w:rPr>
        <w:t>346.6</w:t>
      </w:r>
      <w:r>
        <w:rPr>
          <w:rFonts w:hint="eastAsia" w:ascii="仿宋" w:hAnsi="仿宋" w:eastAsia="仿宋" w:cs="仿宋"/>
          <w:color w:val="000000"/>
          <w:sz w:val="32"/>
          <w:szCs w:val="32"/>
          <w:highlight w:val="none"/>
        </w:rPr>
        <w:t>万元，支出总计</w:t>
      </w:r>
      <w:r>
        <w:rPr>
          <w:rFonts w:hint="eastAsia" w:ascii="仿宋" w:hAnsi="仿宋" w:eastAsia="仿宋" w:cs="仿宋"/>
          <w:color w:val="000000"/>
          <w:sz w:val="32"/>
          <w:szCs w:val="32"/>
          <w:highlight w:val="none"/>
          <w:lang w:val="en-US" w:eastAsia="zh-CN"/>
        </w:rPr>
        <w:t>346.6</w:t>
      </w:r>
      <w:r>
        <w:rPr>
          <w:rFonts w:hint="eastAsia" w:ascii="仿宋" w:hAnsi="仿宋" w:eastAsia="仿宋" w:cs="仿宋"/>
          <w:color w:val="000000"/>
          <w:sz w:val="32"/>
          <w:szCs w:val="32"/>
          <w:highlight w:val="none"/>
        </w:rPr>
        <w:t>万元，与2021年度相比，收入、支出总计各增加</w:t>
      </w:r>
      <w:r>
        <w:rPr>
          <w:rFonts w:hint="eastAsia" w:ascii="仿宋" w:hAnsi="仿宋" w:eastAsia="仿宋" w:cs="仿宋"/>
          <w:color w:val="000000"/>
          <w:sz w:val="32"/>
          <w:szCs w:val="32"/>
          <w:highlight w:val="none"/>
          <w:lang w:val="en-US" w:eastAsia="zh-CN"/>
        </w:rPr>
        <w:t>27.72</w:t>
      </w:r>
      <w:r>
        <w:rPr>
          <w:rFonts w:hint="eastAsia" w:ascii="仿宋" w:hAnsi="仿宋" w:eastAsia="仿宋" w:cs="仿宋"/>
          <w:color w:val="000000"/>
          <w:sz w:val="32"/>
          <w:szCs w:val="32"/>
          <w:highlight w:val="none"/>
        </w:rPr>
        <w:t>万元，增长</w:t>
      </w:r>
      <w:r>
        <w:rPr>
          <w:rFonts w:hint="eastAsia" w:ascii="仿宋" w:hAnsi="仿宋" w:eastAsia="仿宋" w:cs="仿宋"/>
          <w:color w:val="000000"/>
          <w:sz w:val="32"/>
          <w:szCs w:val="32"/>
          <w:highlight w:val="none"/>
          <w:lang w:val="en-US" w:eastAsia="zh-CN"/>
        </w:rPr>
        <w:t>18</w:t>
      </w:r>
      <w:r>
        <w:rPr>
          <w:rFonts w:hint="eastAsia" w:ascii="仿宋" w:hAnsi="仿宋" w:eastAsia="仿宋" w:cs="仿宋"/>
          <w:color w:val="000000"/>
          <w:sz w:val="32"/>
          <w:szCs w:val="32"/>
          <w:highlight w:val="none"/>
        </w:rPr>
        <w:t>%。主要原因：一是</w:t>
      </w:r>
      <w:r>
        <w:rPr>
          <w:rFonts w:hint="eastAsia" w:ascii="仿宋" w:hAnsi="仿宋" w:eastAsia="仿宋" w:cs="仿宋"/>
          <w:color w:val="000000"/>
          <w:sz w:val="32"/>
          <w:szCs w:val="32"/>
          <w:highlight w:val="none"/>
          <w:lang w:eastAsia="zh-CN"/>
        </w:rPr>
        <w:t>人员工资福利增加</w:t>
      </w:r>
      <w:r>
        <w:rPr>
          <w:rFonts w:hint="eastAsia" w:ascii="仿宋" w:hAnsi="仿宋" w:eastAsia="仿宋" w:cs="仿宋"/>
          <w:color w:val="000000"/>
          <w:sz w:val="32"/>
          <w:szCs w:val="32"/>
          <w:highlight w:val="none"/>
        </w:rPr>
        <w:t>；二是</w:t>
      </w:r>
      <w:r>
        <w:rPr>
          <w:rFonts w:hint="eastAsia" w:ascii="仿宋" w:hAnsi="仿宋" w:eastAsia="仿宋" w:cs="仿宋"/>
          <w:i w:val="0"/>
          <w:iCs w:val="0"/>
          <w:caps w:val="0"/>
          <w:color w:val="4C5157"/>
          <w:spacing w:val="0"/>
          <w:sz w:val="32"/>
          <w:szCs w:val="32"/>
          <w:shd w:val="clear" w:fill="FFFFFF"/>
        </w:rPr>
        <w:t>病虫害防治经费的</w:t>
      </w:r>
      <w:r>
        <w:rPr>
          <w:rFonts w:hint="eastAsia" w:ascii="仿宋" w:hAnsi="仿宋" w:eastAsia="仿宋" w:cs="仿宋"/>
          <w:i w:val="0"/>
          <w:iCs w:val="0"/>
          <w:caps w:val="0"/>
          <w:color w:val="4C5157"/>
          <w:spacing w:val="0"/>
          <w:sz w:val="32"/>
          <w:szCs w:val="32"/>
          <w:shd w:val="clear" w:fill="FFFFFF"/>
          <w:lang w:eastAsia="zh-CN"/>
        </w:rPr>
        <w:t>增加</w:t>
      </w:r>
      <w:r>
        <w:rPr>
          <w:rFonts w:hint="eastAsia" w:ascii="仿宋" w:hAnsi="仿宋" w:eastAsia="仿宋" w:cs="仿宋"/>
          <w:color w:val="000000"/>
          <w:sz w:val="32"/>
          <w:szCs w:val="32"/>
          <w:highlight w:val="none"/>
        </w:rPr>
        <w:t>。使用非财政拨款结余</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万元，较2021年度决算数增加（减少）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万元，主要原因是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。年初结转结余</w:t>
      </w:r>
      <w:r>
        <w:rPr>
          <w:rFonts w:hint="eastAsia" w:ascii="仿宋" w:hAnsi="仿宋" w:eastAsia="仿宋" w:cs="仿宋"/>
          <w:color w:val="000000"/>
          <w:sz w:val="32"/>
          <w:szCs w:val="32"/>
          <w:highlight w:val="none"/>
          <w:lang w:val="en-US" w:eastAsia="zh-CN"/>
        </w:rPr>
        <w:t>3.64</w:t>
      </w:r>
      <w:r>
        <w:rPr>
          <w:rFonts w:hint="eastAsia" w:ascii="仿宋" w:hAnsi="仿宋" w:eastAsia="仿宋" w:cs="仿宋"/>
          <w:color w:val="000000"/>
          <w:sz w:val="32"/>
          <w:szCs w:val="32"/>
          <w:highlight w:val="none"/>
        </w:rPr>
        <w:t>万元，主要是</w:t>
      </w:r>
      <w:r>
        <w:rPr>
          <w:rFonts w:hint="eastAsia" w:ascii="仿宋" w:hAnsi="仿宋" w:eastAsia="仿宋" w:cs="仿宋"/>
          <w:color w:val="000000"/>
          <w:sz w:val="32"/>
          <w:szCs w:val="32"/>
          <w:highlight w:val="none"/>
          <w:lang w:eastAsia="zh-CN"/>
        </w:rPr>
        <w:t>有跨年度防治项目</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按合同约定支付，</w:t>
      </w:r>
      <w:r>
        <w:rPr>
          <w:rFonts w:hint="eastAsia" w:ascii="仿宋" w:hAnsi="仿宋" w:eastAsia="仿宋" w:cs="仿宋"/>
          <w:color w:val="000000"/>
          <w:sz w:val="32"/>
          <w:szCs w:val="32"/>
          <w:highlight w:val="none"/>
        </w:rPr>
        <w:t>较2021年度决算数增加（减少）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rPr>
        <w:t>按合同约定支付</w:t>
      </w:r>
      <w:r>
        <w:rPr>
          <w:rFonts w:hint="eastAsia" w:ascii="仿宋" w:hAnsi="仿宋" w:eastAsia="仿宋" w:cs="仿宋"/>
          <w:color w:val="000000"/>
          <w:sz w:val="32"/>
          <w:szCs w:val="32"/>
          <w:highlight w:val="none"/>
        </w:rPr>
        <w:t>。结余分配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，较2021年度决算数增加（减少）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。年末结转结余</w:t>
      </w:r>
      <w:r>
        <w:rPr>
          <w:rFonts w:hint="eastAsia" w:ascii="仿宋" w:hAnsi="仿宋" w:eastAsia="仿宋" w:cs="仿宋"/>
          <w:color w:val="000000"/>
          <w:sz w:val="32"/>
          <w:szCs w:val="32"/>
          <w:highlight w:val="none"/>
          <w:lang w:val="en-US" w:eastAsia="zh-CN"/>
        </w:rPr>
        <w:t>3.64</w:t>
      </w:r>
      <w:r>
        <w:rPr>
          <w:rFonts w:hint="eastAsia" w:ascii="仿宋" w:hAnsi="仿宋" w:eastAsia="仿宋" w:cs="仿宋"/>
          <w:color w:val="000000"/>
          <w:sz w:val="32"/>
          <w:szCs w:val="32"/>
          <w:highlight w:val="none"/>
        </w:rPr>
        <w:t>万元，主要是</w:t>
      </w:r>
      <w:r>
        <w:rPr>
          <w:rFonts w:hint="eastAsia" w:ascii="仿宋" w:hAnsi="仿宋" w:eastAsia="仿宋" w:cs="仿宋"/>
          <w:color w:val="000000"/>
          <w:sz w:val="32"/>
          <w:szCs w:val="32"/>
          <w:highlight w:val="none"/>
          <w:lang w:eastAsia="zh-CN"/>
        </w:rPr>
        <w:t>有跨年度防治项目</w:t>
      </w:r>
      <w:r>
        <w:rPr>
          <w:rFonts w:hint="eastAsia" w:ascii="仿宋" w:hAnsi="仿宋" w:eastAsia="仿宋" w:cs="仿宋"/>
          <w:color w:val="000000"/>
          <w:sz w:val="32"/>
          <w:szCs w:val="32"/>
          <w:highlight w:val="none"/>
        </w:rPr>
        <w:t>，较2021年度决算数增加（减少）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rPr>
        <w:t>有跨年度防治项目</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二、收入决算情况说明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本年收入合计</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万元，其中：财政拨款收入</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100</w:t>
      </w:r>
      <w:r>
        <w:rPr>
          <w:rFonts w:hint="eastAsia" w:ascii="仿宋" w:hAnsi="仿宋" w:eastAsia="仿宋" w:cs="仿宋"/>
          <w:color w:val="000000"/>
          <w:sz w:val="32"/>
          <w:szCs w:val="32"/>
          <w:highlight w:val="none"/>
        </w:rPr>
        <w:t>%；上级补助收入</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事业收入</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经营收入</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附属单位上缴收入</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%；其他收入</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本年支出合计</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万元，其中：基本支出</w:t>
      </w:r>
      <w:r>
        <w:rPr>
          <w:rFonts w:hint="eastAsia" w:ascii="仿宋" w:hAnsi="仿宋" w:eastAsia="仿宋" w:cs="仿宋"/>
          <w:color w:val="000000"/>
          <w:sz w:val="32"/>
          <w:szCs w:val="32"/>
          <w:highlight w:val="none"/>
          <w:lang w:val="en-US" w:eastAsia="zh-CN"/>
        </w:rPr>
        <w:t>174.27</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50.8</w:t>
      </w:r>
      <w:r>
        <w:rPr>
          <w:rFonts w:hint="eastAsia" w:ascii="仿宋" w:hAnsi="仿宋" w:eastAsia="仿宋" w:cs="仿宋"/>
          <w:color w:val="000000"/>
          <w:sz w:val="32"/>
          <w:szCs w:val="32"/>
          <w:highlight w:val="none"/>
        </w:rPr>
        <w:t>%；项目支出</w:t>
      </w:r>
      <w:r>
        <w:rPr>
          <w:rFonts w:hint="eastAsia" w:ascii="仿宋" w:hAnsi="仿宋" w:eastAsia="仿宋" w:cs="仿宋"/>
          <w:color w:val="000000"/>
          <w:sz w:val="32"/>
          <w:szCs w:val="32"/>
          <w:highlight w:val="none"/>
          <w:lang w:val="en-US" w:eastAsia="zh-CN"/>
        </w:rPr>
        <w:t>168.69</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49.2</w:t>
      </w:r>
      <w:r>
        <w:rPr>
          <w:rFonts w:hint="eastAsia" w:ascii="仿宋" w:hAnsi="仿宋" w:eastAsia="仿宋" w:cs="仿宋"/>
          <w:color w:val="000000"/>
          <w:sz w:val="32"/>
          <w:szCs w:val="32"/>
          <w:highlight w:val="none"/>
        </w:rPr>
        <w:t>%；上缴上级支出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%；经营支出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%；对附属单位补助支出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2022年度财政拨款收入</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万元，支出</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万元。与2021年度相比，财政拨款收入、支出各增加</w:t>
      </w:r>
      <w:r>
        <w:rPr>
          <w:rFonts w:hint="eastAsia" w:ascii="仿宋" w:hAnsi="仿宋" w:eastAsia="仿宋" w:cs="仿宋"/>
          <w:color w:val="000000"/>
          <w:sz w:val="32"/>
          <w:szCs w:val="32"/>
          <w:highlight w:val="none"/>
          <w:lang w:val="en-US" w:eastAsia="zh-CN"/>
        </w:rPr>
        <w:t>27.72</w:t>
      </w:r>
      <w:r>
        <w:rPr>
          <w:rFonts w:hint="eastAsia" w:ascii="仿宋" w:hAnsi="仿宋" w:eastAsia="仿宋" w:cs="仿宋"/>
          <w:color w:val="000000"/>
          <w:sz w:val="32"/>
          <w:szCs w:val="32"/>
          <w:highlight w:val="none"/>
        </w:rPr>
        <w:t>万元，增长</w:t>
      </w:r>
      <w:r>
        <w:rPr>
          <w:rFonts w:hint="eastAsia" w:ascii="仿宋" w:hAnsi="仿宋" w:eastAsia="仿宋" w:cs="仿宋"/>
          <w:color w:val="000000"/>
          <w:sz w:val="32"/>
          <w:szCs w:val="32"/>
          <w:highlight w:val="none"/>
          <w:lang w:val="en-US" w:eastAsia="zh-CN"/>
        </w:rPr>
        <w:t>8.1</w:t>
      </w:r>
      <w:r>
        <w:rPr>
          <w:rFonts w:hint="eastAsia" w:ascii="仿宋" w:hAnsi="仿宋" w:eastAsia="仿宋" w:cs="仿宋"/>
          <w:color w:val="000000"/>
          <w:sz w:val="32"/>
          <w:szCs w:val="32"/>
          <w:highlight w:val="none"/>
        </w:rPr>
        <w:t>%。主要原因：一是</w:t>
      </w:r>
      <w:r>
        <w:rPr>
          <w:rFonts w:hint="eastAsia" w:ascii="仿宋" w:hAnsi="仿宋" w:eastAsia="仿宋" w:cs="仿宋"/>
          <w:color w:val="000000"/>
          <w:sz w:val="32"/>
          <w:szCs w:val="32"/>
          <w:highlight w:val="none"/>
          <w:lang w:eastAsia="zh-CN"/>
        </w:rPr>
        <w:t>人员工资福利增加</w:t>
      </w:r>
      <w:r>
        <w:rPr>
          <w:rFonts w:hint="eastAsia" w:ascii="仿宋" w:hAnsi="仿宋" w:eastAsia="仿宋" w:cs="仿宋"/>
          <w:color w:val="000000"/>
          <w:sz w:val="32"/>
          <w:szCs w:val="32"/>
          <w:highlight w:val="none"/>
        </w:rPr>
        <w:t>；二是</w:t>
      </w:r>
      <w:r>
        <w:rPr>
          <w:rFonts w:hint="eastAsia" w:ascii="仿宋" w:hAnsi="仿宋" w:eastAsia="仿宋" w:cs="仿宋"/>
          <w:i w:val="0"/>
          <w:iCs w:val="0"/>
          <w:caps w:val="0"/>
          <w:color w:val="4C5157"/>
          <w:spacing w:val="0"/>
          <w:sz w:val="32"/>
          <w:szCs w:val="32"/>
          <w:shd w:val="clear" w:fill="FFFFFF"/>
        </w:rPr>
        <w:t>病虫害防治经费的</w:t>
      </w:r>
      <w:r>
        <w:rPr>
          <w:rFonts w:hint="eastAsia" w:ascii="仿宋" w:hAnsi="仿宋" w:eastAsia="仿宋" w:cs="仿宋"/>
          <w:i w:val="0"/>
          <w:iCs w:val="0"/>
          <w:caps w:val="0"/>
          <w:color w:val="4C5157"/>
          <w:spacing w:val="0"/>
          <w:sz w:val="32"/>
          <w:szCs w:val="32"/>
          <w:shd w:val="clear" w:fill="FFFFFF"/>
          <w:lang w:eastAsia="zh-CN"/>
        </w:rPr>
        <w:t>增加</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财政拨款年初结转结余</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，较2021年度决算数增加（减少）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财政拨款年末结转结余</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，较2021年度年末数增加（减少）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i w:val="0"/>
          <w:iCs w:val="0"/>
          <w:caps w:val="0"/>
          <w:color w:val="4C5157"/>
          <w:spacing w:val="0"/>
          <w:sz w:val="32"/>
          <w:szCs w:val="32"/>
          <w:shd w:val="clear" w:fill="FFFFFF"/>
        </w:rPr>
        <w:t>无此业务</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bookmarkStart w:id="77" w:name="_Toc13694_WPSOffice_Level2"/>
      <w:bookmarkStart w:id="78" w:name="_Toc17398_WPSOffice_Level2"/>
      <w:bookmarkStart w:id="79" w:name="_Toc23005_WPSOffice_Level2"/>
      <w:bookmarkStart w:id="80" w:name="_Toc19665_WPSOffice_Level2"/>
      <w:bookmarkStart w:id="81" w:name="_Toc9989_WPSOffice_Level2"/>
      <w:bookmarkStart w:id="82" w:name="_Toc21737_WPSOffice_Level2"/>
      <w:r>
        <w:rPr>
          <w:rFonts w:hint="eastAsia" w:ascii="仿宋" w:hAnsi="仿宋" w:eastAsia="仿宋" w:cs="仿宋"/>
          <w:color w:val="000000"/>
          <w:sz w:val="32"/>
          <w:szCs w:val="32"/>
          <w:highlight w:val="none"/>
        </w:rPr>
        <w:t>（一）一般公共预算财政拨款支出决算总体情况</w:t>
      </w:r>
      <w:bookmarkEnd w:id="77"/>
      <w:bookmarkEnd w:id="78"/>
      <w:r>
        <w:rPr>
          <w:rFonts w:hint="eastAsia" w:ascii="仿宋" w:hAnsi="仿宋" w:eastAsia="仿宋" w:cs="仿宋"/>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2022年度一般公共预算财政拨款支出</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万元，占本年支出合计的</w:t>
      </w:r>
      <w:r>
        <w:rPr>
          <w:rFonts w:hint="eastAsia" w:ascii="仿宋" w:hAnsi="仿宋" w:eastAsia="仿宋" w:cs="仿宋"/>
          <w:color w:val="000000"/>
          <w:sz w:val="32"/>
          <w:szCs w:val="32"/>
          <w:highlight w:val="none"/>
          <w:lang w:val="en-US" w:eastAsia="zh-CN"/>
        </w:rPr>
        <w:t>98.9</w:t>
      </w:r>
      <w:r>
        <w:rPr>
          <w:rFonts w:hint="eastAsia" w:ascii="仿宋" w:hAnsi="仿宋" w:eastAsia="仿宋" w:cs="仿宋"/>
          <w:color w:val="000000"/>
          <w:sz w:val="32"/>
          <w:szCs w:val="32"/>
          <w:highlight w:val="none"/>
        </w:rPr>
        <w:t>%。与2021年度相比，一般公共预算财政拨款支出增加</w:t>
      </w:r>
      <w:r>
        <w:rPr>
          <w:rFonts w:hint="eastAsia" w:ascii="仿宋" w:hAnsi="仿宋" w:eastAsia="仿宋" w:cs="仿宋"/>
          <w:color w:val="000000"/>
          <w:sz w:val="32"/>
          <w:szCs w:val="32"/>
          <w:highlight w:val="none"/>
          <w:lang w:val="en-US" w:eastAsia="zh-CN"/>
        </w:rPr>
        <w:t>27.72</w:t>
      </w:r>
      <w:r>
        <w:rPr>
          <w:rFonts w:hint="eastAsia" w:ascii="仿宋" w:hAnsi="仿宋" w:eastAsia="仿宋" w:cs="仿宋"/>
          <w:color w:val="000000"/>
          <w:sz w:val="32"/>
          <w:szCs w:val="32"/>
          <w:highlight w:val="none"/>
        </w:rPr>
        <w:t>万元，增长</w:t>
      </w:r>
      <w:r>
        <w:rPr>
          <w:rFonts w:hint="eastAsia" w:ascii="仿宋" w:hAnsi="仿宋" w:eastAsia="仿宋" w:cs="仿宋"/>
          <w:color w:val="000000"/>
          <w:sz w:val="32"/>
          <w:szCs w:val="32"/>
          <w:highlight w:val="none"/>
          <w:lang w:val="en-US" w:eastAsia="zh-CN"/>
        </w:rPr>
        <w:t>8.1</w:t>
      </w:r>
      <w:r>
        <w:rPr>
          <w:rFonts w:hint="eastAsia" w:ascii="仿宋" w:hAnsi="仿宋" w:eastAsia="仿宋" w:cs="仿宋"/>
          <w:color w:val="000000"/>
          <w:sz w:val="32"/>
          <w:szCs w:val="32"/>
          <w:highlight w:val="none"/>
        </w:rPr>
        <w:t>%，主要原因是一是</w:t>
      </w:r>
      <w:r>
        <w:rPr>
          <w:rFonts w:hint="eastAsia" w:ascii="仿宋" w:hAnsi="仿宋" w:eastAsia="仿宋" w:cs="仿宋"/>
          <w:color w:val="000000"/>
          <w:sz w:val="32"/>
          <w:szCs w:val="32"/>
          <w:highlight w:val="none"/>
          <w:lang w:eastAsia="zh-CN"/>
        </w:rPr>
        <w:t>人员工资福利增加</w:t>
      </w:r>
      <w:r>
        <w:rPr>
          <w:rFonts w:hint="eastAsia" w:ascii="仿宋" w:hAnsi="仿宋" w:eastAsia="仿宋" w:cs="仿宋"/>
          <w:color w:val="000000"/>
          <w:sz w:val="32"/>
          <w:szCs w:val="32"/>
          <w:highlight w:val="none"/>
        </w:rPr>
        <w:t>；二是</w:t>
      </w:r>
      <w:r>
        <w:rPr>
          <w:rFonts w:hint="eastAsia" w:ascii="仿宋" w:hAnsi="仿宋" w:eastAsia="仿宋" w:cs="仿宋"/>
          <w:i w:val="0"/>
          <w:iCs w:val="0"/>
          <w:caps w:val="0"/>
          <w:color w:val="4C5157"/>
          <w:spacing w:val="0"/>
          <w:sz w:val="32"/>
          <w:szCs w:val="32"/>
          <w:shd w:val="clear" w:fill="FFFFFF"/>
        </w:rPr>
        <w:t>病虫害防治经费的</w:t>
      </w:r>
      <w:r>
        <w:rPr>
          <w:rFonts w:hint="eastAsia" w:ascii="仿宋" w:hAnsi="仿宋" w:eastAsia="仿宋" w:cs="仿宋"/>
          <w:i w:val="0"/>
          <w:iCs w:val="0"/>
          <w:caps w:val="0"/>
          <w:color w:val="4C5157"/>
          <w:spacing w:val="0"/>
          <w:sz w:val="32"/>
          <w:szCs w:val="32"/>
          <w:shd w:val="clear" w:fill="FFFFFF"/>
          <w:lang w:eastAsia="zh-CN"/>
        </w:rPr>
        <w:t>增加</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bookmarkStart w:id="83" w:name="_Toc18793_WPSOffice_Level2"/>
      <w:bookmarkStart w:id="84" w:name="_Toc2711_WPSOffice_Level2"/>
      <w:bookmarkStart w:id="85" w:name="_Toc19075_WPSOffice_Level2"/>
      <w:bookmarkStart w:id="86" w:name="_Toc27767_WPSOffice_Level2"/>
      <w:bookmarkStart w:id="87" w:name="_Toc19535_WPSOffice_Level2"/>
      <w:bookmarkStart w:id="88" w:name="_Toc23864_WPSOffice_Level2"/>
      <w:r>
        <w:rPr>
          <w:rFonts w:hint="eastAsia" w:ascii="仿宋" w:hAnsi="仿宋" w:eastAsia="仿宋" w:cs="仿宋"/>
          <w:color w:val="000000"/>
          <w:sz w:val="32"/>
          <w:szCs w:val="32"/>
          <w:highlight w:val="none"/>
        </w:rPr>
        <w:t>（二）一般公共预算财政拨款支出决算结构情况</w:t>
      </w:r>
      <w:bookmarkEnd w:id="83"/>
      <w:bookmarkEnd w:id="84"/>
      <w:r>
        <w:rPr>
          <w:rFonts w:hint="eastAsia" w:ascii="仿宋" w:hAnsi="仿宋" w:eastAsia="仿宋" w:cs="仿宋"/>
          <w:color w:val="000000"/>
          <w:sz w:val="32"/>
          <w:szCs w:val="32"/>
          <w:highlight w:val="none"/>
        </w:rPr>
        <w:t>。</w:t>
      </w:r>
      <w:bookmarkEnd w:id="85"/>
      <w:bookmarkEnd w:id="86"/>
      <w:bookmarkEnd w:id="87"/>
      <w:bookmarkEnd w:id="88"/>
    </w:p>
    <w:p>
      <w:pPr>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2022年度一般公共预算财政拨款支出</w:t>
      </w:r>
      <w:r>
        <w:rPr>
          <w:rFonts w:hint="eastAsia" w:ascii="仿宋" w:hAnsi="仿宋" w:eastAsia="仿宋" w:cs="仿宋"/>
          <w:color w:val="000000"/>
          <w:sz w:val="32"/>
          <w:szCs w:val="32"/>
          <w:highlight w:val="none"/>
          <w:lang w:val="en-US" w:eastAsia="zh-CN"/>
        </w:rPr>
        <w:t>342.96</w:t>
      </w:r>
      <w:r>
        <w:rPr>
          <w:rFonts w:hint="eastAsia" w:ascii="仿宋" w:hAnsi="仿宋" w:eastAsia="仿宋" w:cs="仿宋"/>
          <w:color w:val="000000"/>
          <w:sz w:val="32"/>
          <w:szCs w:val="32"/>
          <w:highlight w:val="none"/>
        </w:rPr>
        <w:t>万元，主要用于以下方面：</w:t>
      </w:r>
      <w:r>
        <w:rPr>
          <w:rFonts w:hint="eastAsia" w:ascii="仿宋" w:hAnsi="仿宋" w:eastAsia="仿宋" w:cs="仿宋"/>
          <w:b/>
          <w:color w:val="000000"/>
          <w:sz w:val="32"/>
          <w:szCs w:val="32"/>
          <w:highlight w:val="none"/>
        </w:rPr>
        <w:t>社会保障和就业支出</w:t>
      </w:r>
      <w:r>
        <w:rPr>
          <w:rFonts w:hint="eastAsia" w:ascii="仿宋" w:hAnsi="仿宋" w:eastAsia="仿宋" w:cs="仿宋"/>
          <w:b w:val="0"/>
          <w:bCs/>
          <w:color w:val="000000"/>
          <w:sz w:val="32"/>
          <w:szCs w:val="32"/>
          <w:highlight w:val="none"/>
          <w:lang w:val="en-US" w:eastAsia="zh-CN"/>
        </w:rPr>
        <w:t>16.5</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4.8</w:t>
      </w:r>
      <w:r>
        <w:rPr>
          <w:rFonts w:hint="eastAsia" w:ascii="仿宋" w:hAnsi="仿宋" w:eastAsia="仿宋" w:cs="仿宋"/>
          <w:color w:val="000000"/>
          <w:sz w:val="32"/>
          <w:szCs w:val="32"/>
          <w:highlight w:val="none"/>
        </w:rPr>
        <w:t>%；</w:t>
      </w:r>
      <w:r>
        <w:rPr>
          <w:rFonts w:hint="eastAsia" w:ascii="仿宋" w:hAnsi="仿宋" w:eastAsia="仿宋" w:cs="仿宋"/>
          <w:b/>
          <w:sz w:val="32"/>
          <w:szCs w:val="32"/>
        </w:rPr>
        <w:t>卫生健康支出（类）</w:t>
      </w:r>
      <w:r>
        <w:rPr>
          <w:rFonts w:hint="eastAsia" w:ascii="仿宋" w:hAnsi="仿宋" w:eastAsia="仿宋" w:cs="仿宋"/>
          <w:sz w:val="32"/>
          <w:szCs w:val="32"/>
        </w:rPr>
        <w:t>支出</w:t>
      </w:r>
      <w:r>
        <w:rPr>
          <w:rFonts w:hint="eastAsia" w:ascii="仿宋" w:hAnsi="仿宋" w:eastAsia="仿宋" w:cs="仿宋"/>
          <w:sz w:val="32"/>
          <w:szCs w:val="32"/>
          <w:lang w:val="en-US" w:eastAsia="zh-CN"/>
        </w:rPr>
        <w:t>17.12</w:t>
      </w:r>
      <w:r>
        <w:rPr>
          <w:rFonts w:hint="eastAsia" w:ascii="仿宋" w:hAnsi="仿宋" w:eastAsia="仿宋" w:cs="仿宋"/>
          <w:sz w:val="32"/>
          <w:szCs w:val="32"/>
        </w:rPr>
        <w:t>万元，占</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b/>
          <w:bCs/>
          <w:sz w:val="32"/>
          <w:szCs w:val="32"/>
          <w:lang w:eastAsia="zh-CN"/>
        </w:rPr>
        <w:t>农林水支出</w:t>
      </w:r>
      <w:r>
        <w:rPr>
          <w:rFonts w:hint="eastAsia" w:ascii="仿宋" w:hAnsi="仿宋" w:eastAsia="仿宋" w:cs="仿宋"/>
          <w:b/>
          <w:bCs/>
          <w:sz w:val="32"/>
          <w:szCs w:val="32"/>
          <w:lang w:val="en-US" w:eastAsia="zh-CN"/>
        </w:rPr>
        <w:t>(类)</w:t>
      </w:r>
      <w:r>
        <w:rPr>
          <w:rFonts w:hint="eastAsia" w:ascii="仿宋" w:hAnsi="仿宋" w:eastAsia="仿宋" w:cs="仿宋"/>
          <w:b/>
          <w:bCs/>
          <w:sz w:val="32"/>
          <w:szCs w:val="32"/>
          <w:lang w:eastAsia="zh-CN"/>
        </w:rPr>
        <w:t>支出</w:t>
      </w:r>
      <w:r>
        <w:rPr>
          <w:rFonts w:hint="eastAsia" w:ascii="仿宋" w:hAnsi="仿宋" w:eastAsia="仿宋" w:cs="仿宋"/>
          <w:b/>
          <w:bCs/>
          <w:sz w:val="32"/>
          <w:szCs w:val="32"/>
          <w:lang w:val="en-US" w:eastAsia="zh-CN"/>
        </w:rPr>
        <w:t>,</w:t>
      </w:r>
      <w:r>
        <w:rPr>
          <w:rFonts w:hint="eastAsia" w:ascii="仿宋" w:hAnsi="仿宋" w:eastAsia="仿宋" w:cs="仿宋"/>
          <w:sz w:val="32"/>
          <w:szCs w:val="32"/>
        </w:rPr>
        <w:t>支出</w:t>
      </w:r>
      <w:r>
        <w:rPr>
          <w:rFonts w:hint="eastAsia" w:ascii="仿宋" w:hAnsi="仿宋" w:eastAsia="仿宋" w:cs="仿宋"/>
          <w:sz w:val="32"/>
          <w:szCs w:val="32"/>
          <w:lang w:val="en-US" w:eastAsia="zh-CN"/>
        </w:rPr>
        <w:t>296.96</w:t>
      </w:r>
      <w:r>
        <w:rPr>
          <w:rFonts w:hint="eastAsia" w:ascii="仿宋" w:hAnsi="仿宋" w:eastAsia="仿宋" w:cs="仿宋"/>
          <w:sz w:val="32"/>
          <w:szCs w:val="32"/>
        </w:rPr>
        <w:t>万元，占</w:t>
      </w:r>
      <w:r>
        <w:rPr>
          <w:rFonts w:hint="eastAsia" w:ascii="仿宋" w:hAnsi="仿宋" w:eastAsia="仿宋" w:cs="仿宋"/>
          <w:sz w:val="32"/>
          <w:szCs w:val="32"/>
          <w:lang w:val="en-US" w:eastAsia="zh-CN"/>
        </w:rPr>
        <w:t>86.6</w:t>
      </w:r>
      <w:r>
        <w:rPr>
          <w:rFonts w:hint="eastAsia" w:ascii="仿宋" w:hAnsi="仿宋" w:eastAsia="仿宋" w:cs="仿宋"/>
          <w:sz w:val="32"/>
          <w:szCs w:val="32"/>
        </w:rPr>
        <w:t>%</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住房保障（类）</w:t>
      </w:r>
      <w:r>
        <w:rPr>
          <w:rFonts w:hint="eastAsia" w:ascii="仿宋" w:hAnsi="仿宋" w:eastAsia="仿宋" w:cs="仿宋"/>
          <w:sz w:val="32"/>
          <w:szCs w:val="32"/>
        </w:rPr>
        <w:t>支出</w:t>
      </w:r>
      <w:r>
        <w:rPr>
          <w:rFonts w:hint="eastAsia" w:ascii="仿宋" w:hAnsi="仿宋" w:eastAsia="仿宋" w:cs="仿宋"/>
          <w:sz w:val="32"/>
          <w:szCs w:val="32"/>
          <w:lang w:val="en-US" w:eastAsia="zh-CN"/>
        </w:rPr>
        <w:t>12.39</w:t>
      </w:r>
      <w:r>
        <w:rPr>
          <w:rFonts w:hint="eastAsia" w:ascii="仿宋" w:hAnsi="仿宋" w:eastAsia="仿宋" w:cs="仿宋"/>
          <w:sz w:val="32"/>
          <w:szCs w:val="32"/>
        </w:rPr>
        <w:t>万元，占</w:t>
      </w:r>
      <w:r>
        <w:rPr>
          <w:rFonts w:hint="eastAsia" w:ascii="仿宋" w:hAnsi="仿宋" w:eastAsia="仿宋" w:cs="仿宋"/>
          <w:sz w:val="32"/>
          <w:szCs w:val="32"/>
          <w:lang w:val="en-US" w:eastAsia="zh-CN"/>
        </w:rPr>
        <w:t>3.6</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bookmarkStart w:id="89" w:name="_Toc29364_WPSOffice_Level2"/>
      <w:bookmarkStart w:id="90" w:name="_Toc9502_WPSOffice_Level2"/>
      <w:bookmarkStart w:id="91" w:name="_Toc22318_WPSOffice_Level2"/>
      <w:bookmarkStart w:id="92" w:name="_Toc25136_WPSOffice_Level2"/>
      <w:bookmarkStart w:id="93" w:name="_Toc15415_WPSOffice_Level2"/>
      <w:bookmarkStart w:id="94" w:name="_Toc21701_WPSOffice_Level2"/>
      <w:r>
        <w:rPr>
          <w:rFonts w:hint="eastAsia" w:ascii="仿宋" w:hAnsi="仿宋" w:eastAsia="仿宋" w:cs="仿宋"/>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2022年度一般公共预算财政拨款支出年初预算为</w:t>
      </w:r>
      <w:r>
        <w:rPr>
          <w:rFonts w:hint="eastAsia" w:ascii="仿宋" w:hAnsi="仿宋" w:eastAsia="仿宋" w:cs="仿宋"/>
          <w:color w:val="000000"/>
          <w:sz w:val="32"/>
          <w:szCs w:val="32"/>
          <w:highlight w:val="none"/>
          <w:lang w:val="en-US" w:eastAsia="zh-CN"/>
        </w:rPr>
        <w:t>351.79</w:t>
      </w:r>
      <w:r>
        <w:rPr>
          <w:rFonts w:hint="eastAsia" w:ascii="仿宋" w:hAnsi="仿宋" w:eastAsia="仿宋" w:cs="仿宋"/>
          <w:color w:val="000000"/>
          <w:sz w:val="32"/>
          <w:szCs w:val="32"/>
          <w:highlight w:val="none"/>
        </w:rPr>
        <w:t>万元，支出决算为</w:t>
      </w:r>
      <w:r>
        <w:rPr>
          <w:rFonts w:hint="eastAsia" w:ascii="仿宋" w:hAnsi="仿宋" w:eastAsia="仿宋" w:cs="仿宋"/>
          <w:color w:val="000000"/>
          <w:sz w:val="32"/>
          <w:szCs w:val="32"/>
          <w:highlight w:val="none"/>
          <w:lang w:val="en-US" w:eastAsia="zh-CN"/>
        </w:rPr>
        <w:t>346.6</w:t>
      </w:r>
      <w:r>
        <w:rPr>
          <w:rFonts w:hint="eastAsia" w:ascii="仿宋" w:hAnsi="仿宋" w:eastAsia="仿宋" w:cs="仿宋"/>
          <w:color w:val="000000"/>
          <w:sz w:val="32"/>
          <w:szCs w:val="32"/>
          <w:highlight w:val="none"/>
        </w:rPr>
        <w:t>万元，完成年初预算的</w:t>
      </w:r>
      <w:r>
        <w:rPr>
          <w:rFonts w:hint="eastAsia" w:ascii="仿宋" w:hAnsi="仿宋" w:eastAsia="仿宋" w:cs="仿宋"/>
          <w:color w:val="000000"/>
          <w:sz w:val="32"/>
          <w:szCs w:val="32"/>
          <w:highlight w:val="none"/>
          <w:lang w:val="en-US" w:eastAsia="zh-CN"/>
        </w:rPr>
        <w:t>98.5</w:t>
      </w:r>
      <w:r>
        <w:rPr>
          <w:rFonts w:hint="eastAsia" w:ascii="仿宋" w:hAnsi="仿宋" w:eastAsia="仿宋" w:cs="仿宋"/>
          <w:color w:val="000000"/>
          <w:sz w:val="32"/>
          <w:szCs w:val="32"/>
          <w:highlight w:val="none"/>
        </w:rPr>
        <w:t>%。其中：</w:t>
      </w:r>
    </w:p>
    <w:p>
      <w:pPr>
        <w:numPr>
          <w:ilvl w:val="0"/>
          <w:numId w:val="3"/>
        </w:numPr>
        <w:ind w:firstLine="643" w:firstLineChars="200"/>
        <w:rPr>
          <w:rFonts w:hint="eastAsia" w:ascii="仿宋" w:hAnsi="仿宋" w:eastAsia="仿宋" w:cs="仿宋"/>
          <w:sz w:val="32"/>
          <w:szCs w:val="32"/>
        </w:rPr>
      </w:pPr>
      <w:r>
        <w:rPr>
          <w:rFonts w:hint="eastAsia" w:ascii="仿宋" w:hAnsi="仿宋" w:eastAsia="仿宋" w:cs="仿宋"/>
          <w:b/>
          <w:sz w:val="32"/>
          <w:szCs w:val="32"/>
        </w:rPr>
        <w:t>社会保障和就业支出(类)</w:t>
      </w:r>
      <w:r>
        <w:rPr>
          <w:rFonts w:hint="eastAsia" w:ascii="仿宋" w:hAnsi="仿宋" w:eastAsia="仿宋" w:cs="仿宋"/>
        </w:rPr>
        <w:t xml:space="preserve"> </w:t>
      </w:r>
      <w:r>
        <w:rPr>
          <w:rFonts w:hint="eastAsia" w:ascii="仿宋" w:hAnsi="仿宋" w:eastAsia="仿宋" w:cs="仿宋"/>
          <w:b/>
          <w:sz w:val="32"/>
          <w:szCs w:val="32"/>
        </w:rPr>
        <w:t>行政事业单位养老支出(款)</w:t>
      </w:r>
      <w:r>
        <w:rPr>
          <w:rFonts w:hint="eastAsia" w:ascii="仿宋" w:hAnsi="仿宋" w:eastAsia="仿宋" w:cs="仿宋"/>
        </w:rPr>
        <w:t xml:space="preserve">  </w:t>
      </w:r>
      <w:r>
        <w:rPr>
          <w:rFonts w:hint="eastAsia" w:ascii="仿宋" w:hAnsi="仿宋" w:eastAsia="仿宋" w:cs="仿宋"/>
          <w:b/>
          <w:sz w:val="32"/>
          <w:szCs w:val="32"/>
          <w:lang w:eastAsia="zh-CN"/>
        </w:rPr>
        <w:t>机关事业单位基本养老保险缴费支出</w:t>
      </w:r>
      <w:r>
        <w:rPr>
          <w:rFonts w:hint="eastAsia" w:ascii="仿宋" w:hAnsi="仿宋" w:eastAsia="仿宋" w:cs="仿宋"/>
          <w:b/>
          <w:sz w:val="32"/>
          <w:szCs w:val="32"/>
          <w:lang w:val="en-US" w:eastAsia="zh-CN"/>
        </w:rPr>
        <w:t>(项)</w:t>
      </w:r>
      <w:r>
        <w:rPr>
          <w:rFonts w:hint="eastAsia" w:ascii="仿宋" w:hAnsi="仿宋" w:eastAsia="仿宋" w:cs="仿宋"/>
          <w:b/>
          <w:sz w:val="32"/>
          <w:szCs w:val="32"/>
        </w:rPr>
        <w:t xml:space="preserve"> </w:t>
      </w:r>
      <w:r>
        <w:rPr>
          <w:rFonts w:hint="eastAsia" w:ascii="仿宋" w:hAnsi="仿宋" w:eastAsia="仿宋" w:cs="仿宋"/>
          <w:sz w:val="32"/>
          <w:szCs w:val="32"/>
        </w:rPr>
        <w:t>。</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30.47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16.5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54.2</w:t>
      </w:r>
      <w:r>
        <w:rPr>
          <w:rFonts w:hint="eastAsia" w:ascii="仿宋" w:hAnsi="仿宋" w:eastAsia="仿宋" w:cs="仿宋"/>
          <w:sz w:val="32"/>
          <w:szCs w:val="32"/>
        </w:rPr>
        <w:t>%。决算数</w:t>
      </w:r>
      <w:r>
        <w:rPr>
          <w:rFonts w:hint="eastAsia" w:ascii="仿宋" w:hAnsi="仿宋" w:eastAsia="仿宋" w:cs="仿宋"/>
          <w:sz w:val="32"/>
          <w:szCs w:val="32"/>
          <w:lang w:eastAsia="zh-CN"/>
        </w:rPr>
        <w:t>小</w:t>
      </w:r>
      <w:r>
        <w:rPr>
          <w:rFonts w:hint="eastAsia" w:ascii="仿宋" w:hAnsi="仿宋" w:eastAsia="仿宋" w:cs="仿宋"/>
          <w:sz w:val="32"/>
          <w:szCs w:val="32"/>
          <w:lang w:val="en-US" w:eastAsia="zh-CN"/>
        </w:rPr>
        <w:t>于</w:t>
      </w:r>
      <w:r>
        <w:rPr>
          <w:rFonts w:hint="eastAsia" w:ascii="仿宋" w:hAnsi="仿宋" w:eastAsia="仿宋" w:cs="仿宋"/>
          <w:sz w:val="32"/>
          <w:szCs w:val="32"/>
        </w:rPr>
        <w:t>预算数的</w:t>
      </w:r>
      <w:r>
        <w:rPr>
          <w:rFonts w:hint="eastAsia" w:ascii="仿宋" w:hAnsi="仿宋" w:eastAsia="仿宋" w:cs="仿宋"/>
          <w:color w:val="auto"/>
          <w:sz w:val="32"/>
          <w:szCs w:val="32"/>
        </w:rPr>
        <w:t>主要原</w:t>
      </w:r>
      <w:r>
        <w:rPr>
          <w:rFonts w:hint="eastAsia" w:ascii="仿宋" w:hAnsi="仿宋" w:eastAsia="仿宋" w:cs="仿宋"/>
          <w:color w:val="auto"/>
          <w:sz w:val="32"/>
          <w:szCs w:val="32"/>
          <w:lang w:eastAsia="zh-CN"/>
        </w:rPr>
        <w:t>因是预算过大</w:t>
      </w:r>
      <w:r>
        <w:rPr>
          <w:rFonts w:hint="eastAsia" w:ascii="仿宋" w:hAnsi="仿宋" w:eastAsia="仿宋" w:cs="仿宋"/>
          <w:color w:val="auto"/>
          <w:sz w:val="32"/>
          <w:szCs w:val="32"/>
          <w:lang w:val="en-US" w:eastAsia="zh-CN"/>
        </w:rPr>
        <w:t>。</w:t>
      </w:r>
    </w:p>
    <w:p>
      <w:pPr>
        <w:ind w:firstLine="643" w:firstLineChars="200"/>
        <w:rPr>
          <w:rFonts w:hint="eastAsia" w:ascii="仿宋" w:hAnsi="仿宋" w:eastAsia="仿宋" w:cs="仿宋"/>
          <w:b/>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color w:val="auto"/>
          <w:sz w:val="32"/>
          <w:szCs w:val="32"/>
        </w:rPr>
        <w:t>卫生健康支出（类）行政事业单位医疗（款）</w:t>
      </w:r>
      <w:r>
        <w:rPr>
          <w:rFonts w:hint="eastAsia" w:ascii="仿宋" w:hAnsi="仿宋" w:eastAsia="仿宋" w:cs="仿宋"/>
          <w:b/>
          <w:color w:val="auto"/>
          <w:sz w:val="32"/>
          <w:szCs w:val="32"/>
          <w:lang w:eastAsia="zh-CN"/>
        </w:rPr>
        <w:t>行政单位医疗</w:t>
      </w:r>
      <w:r>
        <w:rPr>
          <w:rFonts w:hint="eastAsia" w:ascii="仿宋" w:hAnsi="仿宋" w:eastAsia="仿宋" w:cs="仿宋"/>
          <w:b/>
          <w:color w:val="auto"/>
          <w:sz w:val="32"/>
          <w:szCs w:val="32"/>
          <w:lang w:val="en-US" w:eastAsia="zh-CN"/>
        </w:rPr>
        <w:t>(项)</w:t>
      </w:r>
      <w:r>
        <w:rPr>
          <w:rFonts w:hint="eastAsia" w:ascii="仿宋" w:hAnsi="仿宋" w:eastAsia="仿宋" w:cs="仿宋"/>
          <w:b/>
          <w:color w:val="auto"/>
          <w:sz w:val="32"/>
          <w:szCs w:val="32"/>
        </w:rPr>
        <w:t>。</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16.87</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8.97</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53.2</w:t>
      </w:r>
      <w:r>
        <w:rPr>
          <w:rFonts w:hint="eastAsia" w:ascii="仿宋" w:hAnsi="仿宋" w:eastAsia="仿宋" w:cs="仿宋"/>
          <w:color w:val="auto"/>
          <w:sz w:val="32"/>
          <w:szCs w:val="32"/>
        </w:rPr>
        <w:t>%。决算数</w:t>
      </w:r>
      <w:r>
        <w:rPr>
          <w:rFonts w:hint="eastAsia" w:ascii="仿宋" w:hAnsi="仿宋" w:eastAsia="仿宋" w:cs="仿宋"/>
          <w:sz w:val="32"/>
          <w:szCs w:val="32"/>
          <w:lang w:eastAsia="zh-CN"/>
        </w:rPr>
        <w:t>小</w:t>
      </w:r>
      <w:r>
        <w:rPr>
          <w:rFonts w:hint="eastAsia" w:ascii="仿宋" w:hAnsi="仿宋" w:eastAsia="仿宋" w:cs="仿宋"/>
          <w:color w:val="auto"/>
          <w:sz w:val="32"/>
          <w:szCs w:val="32"/>
        </w:rPr>
        <w:t>于预算数的主要原因</w:t>
      </w:r>
      <w:r>
        <w:rPr>
          <w:rFonts w:hint="eastAsia" w:ascii="仿宋" w:hAnsi="仿宋" w:eastAsia="仿宋" w:cs="仿宋"/>
          <w:color w:val="auto"/>
          <w:sz w:val="32"/>
          <w:szCs w:val="32"/>
          <w:lang w:eastAsia="zh-CN"/>
        </w:rPr>
        <w:t>是预算过大</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b/>
          <w:color w:val="auto"/>
          <w:sz w:val="32"/>
          <w:szCs w:val="32"/>
          <w:lang w:eastAsia="zh-CN"/>
        </w:rPr>
      </w:pPr>
      <w:r>
        <w:rPr>
          <w:rFonts w:hint="eastAsia" w:ascii="仿宋" w:hAnsi="仿宋" w:eastAsia="仿宋" w:cs="仿宋"/>
          <w:b w:val="0"/>
          <w:bCs/>
          <w:color w:val="auto"/>
          <w:sz w:val="32"/>
          <w:szCs w:val="32"/>
          <w:lang w:val="en-US" w:eastAsia="zh-CN"/>
        </w:rPr>
        <w:t>3.</w:t>
      </w:r>
      <w:r>
        <w:rPr>
          <w:rFonts w:hint="eastAsia" w:ascii="仿宋" w:hAnsi="仿宋" w:eastAsia="仿宋" w:cs="仿宋"/>
          <w:b/>
          <w:color w:val="auto"/>
          <w:sz w:val="32"/>
          <w:szCs w:val="32"/>
        </w:rPr>
        <w:t>卫生健康支出（类）行政事业单位医疗（款）</w:t>
      </w:r>
      <w:r>
        <w:rPr>
          <w:rFonts w:hint="eastAsia" w:ascii="仿宋" w:hAnsi="仿宋" w:eastAsia="仿宋" w:cs="仿宋"/>
          <w:b/>
          <w:color w:val="auto"/>
          <w:sz w:val="32"/>
          <w:szCs w:val="32"/>
          <w:lang w:eastAsia="zh-CN"/>
        </w:rPr>
        <w:t>其他行政事业单位医疗支出</w:t>
      </w:r>
      <w:r>
        <w:rPr>
          <w:rFonts w:hint="eastAsia" w:ascii="仿宋" w:hAnsi="仿宋" w:eastAsia="仿宋" w:cs="仿宋"/>
          <w:b/>
          <w:color w:val="auto"/>
          <w:sz w:val="32"/>
          <w:szCs w:val="32"/>
          <w:lang w:val="en-US" w:eastAsia="zh-CN"/>
        </w:rPr>
        <w:t>(项)</w:t>
      </w:r>
      <w:r>
        <w:rPr>
          <w:rFonts w:hint="eastAsia" w:ascii="仿宋" w:hAnsi="仿宋" w:eastAsia="仿宋" w:cs="仿宋"/>
          <w:b/>
          <w:color w:val="auto"/>
          <w:sz w:val="32"/>
          <w:szCs w:val="32"/>
        </w:rPr>
        <w:t>。</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lang w:val="en-US" w:eastAsia="zh-CN"/>
        </w:rPr>
        <w:t>年初预算为0.51万元，支出决算为0.51万元，完成年初预算的100%。决算数与预算数持平的主要原因是预算精准。</w:t>
      </w:r>
    </w:p>
    <w:p>
      <w:pPr>
        <w:numPr>
          <w:ilvl w:val="0"/>
          <w:numId w:val="4"/>
        </w:numPr>
        <w:ind w:firstLine="643" w:firstLineChars="200"/>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卫生健康支出（类）行政事业单位医疗（款）</w:t>
      </w:r>
      <w:r>
        <w:rPr>
          <w:rFonts w:hint="eastAsia" w:ascii="仿宋" w:hAnsi="仿宋" w:eastAsia="仿宋" w:cs="仿宋"/>
          <w:b/>
          <w:color w:val="auto"/>
          <w:sz w:val="32"/>
          <w:szCs w:val="32"/>
          <w:lang w:eastAsia="zh-CN"/>
        </w:rPr>
        <w:t>公务员医疗补助</w:t>
      </w:r>
      <w:r>
        <w:rPr>
          <w:rFonts w:hint="eastAsia" w:ascii="仿宋" w:hAnsi="仿宋" w:eastAsia="仿宋" w:cs="仿宋"/>
          <w:b/>
          <w:color w:val="auto"/>
          <w:sz w:val="32"/>
          <w:szCs w:val="32"/>
          <w:lang w:val="en-US" w:eastAsia="zh-CN"/>
        </w:rPr>
        <w:t>(项)。</w:t>
      </w:r>
    </w:p>
    <w:p>
      <w:pPr>
        <w:numPr>
          <w:ilvl w:val="0"/>
          <w:numId w:val="0"/>
        </w:numPr>
        <w:ind w:firstLine="642"/>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年初预算为9.26万元，支出决算为7.64万元，完成年初预算的82.5%。决算数</w:t>
      </w:r>
      <w:r>
        <w:rPr>
          <w:rFonts w:hint="eastAsia" w:ascii="仿宋" w:hAnsi="仿宋" w:eastAsia="仿宋" w:cs="仿宋"/>
          <w:sz w:val="32"/>
          <w:szCs w:val="32"/>
          <w:lang w:eastAsia="zh-CN"/>
        </w:rPr>
        <w:t>小</w:t>
      </w:r>
      <w:r>
        <w:rPr>
          <w:rFonts w:hint="eastAsia" w:ascii="仿宋" w:hAnsi="仿宋" w:eastAsia="仿宋" w:cs="仿宋"/>
          <w:sz w:val="32"/>
          <w:szCs w:val="32"/>
        </w:rPr>
        <w:t>于</w:t>
      </w:r>
      <w:r>
        <w:rPr>
          <w:rFonts w:hint="eastAsia" w:ascii="仿宋" w:hAnsi="仿宋" w:eastAsia="仿宋" w:cs="仿宋"/>
          <w:color w:val="auto"/>
          <w:sz w:val="32"/>
          <w:szCs w:val="32"/>
          <w:lang w:val="en-US" w:eastAsia="zh-CN"/>
        </w:rPr>
        <w:t>预算数持平的主要原因是</w:t>
      </w:r>
      <w:r>
        <w:rPr>
          <w:rFonts w:hint="eastAsia" w:ascii="仿宋" w:hAnsi="仿宋" w:eastAsia="仿宋" w:cs="仿宋"/>
          <w:color w:val="auto"/>
          <w:sz w:val="32"/>
          <w:szCs w:val="32"/>
          <w:lang w:eastAsia="zh-CN"/>
        </w:rPr>
        <w:t>预算过大。</w:t>
      </w:r>
    </w:p>
    <w:p>
      <w:pPr>
        <w:numPr>
          <w:ilvl w:val="0"/>
          <w:numId w:val="4"/>
        </w:numPr>
        <w:ind w:left="0" w:leftChars="0"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农林水支出(类)</w:t>
      </w:r>
      <w:r>
        <w:rPr>
          <w:rFonts w:hint="eastAsia" w:ascii="仿宋" w:hAnsi="仿宋" w:eastAsia="仿宋" w:cs="仿宋"/>
        </w:rPr>
        <w:t xml:space="preserve"> </w:t>
      </w:r>
      <w:r>
        <w:rPr>
          <w:rFonts w:hint="eastAsia" w:ascii="仿宋" w:hAnsi="仿宋" w:eastAsia="仿宋" w:cs="仿宋"/>
          <w:b/>
          <w:sz w:val="32"/>
          <w:szCs w:val="32"/>
        </w:rPr>
        <w:t>林业和草原(款)</w:t>
      </w:r>
      <w:r>
        <w:rPr>
          <w:rFonts w:hint="eastAsia" w:ascii="仿宋" w:hAnsi="仿宋" w:eastAsia="仿宋" w:cs="仿宋"/>
        </w:rPr>
        <w:t xml:space="preserve"> </w:t>
      </w:r>
      <w:r>
        <w:rPr>
          <w:rFonts w:hint="eastAsia" w:ascii="仿宋" w:hAnsi="仿宋" w:eastAsia="仿宋" w:cs="仿宋"/>
          <w:b/>
          <w:sz w:val="32"/>
          <w:szCs w:val="32"/>
          <w:lang w:eastAsia="zh-CN"/>
        </w:rPr>
        <w:t>行政运行</w:t>
      </w:r>
      <w:r>
        <w:rPr>
          <w:rFonts w:hint="eastAsia" w:ascii="仿宋" w:hAnsi="仿宋" w:eastAsia="仿宋" w:cs="仿宋"/>
          <w:b/>
          <w:sz w:val="32"/>
          <w:szCs w:val="32"/>
          <w:lang w:val="en-US" w:eastAsia="zh-CN"/>
        </w:rPr>
        <w:t>(项)</w:t>
      </w:r>
    </w:p>
    <w:p>
      <w:pPr>
        <w:ind w:firstLine="640" w:firstLineChars="200"/>
        <w:rPr>
          <w:rFonts w:hint="eastAsia" w:ascii="仿宋" w:hAnsi="仿宋" w:eastAsia="仿宋" w:cs="仿宋"/>
          <w:b/>
          <w:sz w:val="32"/>
          <w:szCs w:val="32"/>
          <w:lang w:val="en-US" w:eastAsia="zh-CN"/>
        </w:rPr>
      </w:pPr>
      <w:r>
        <w:rPr>
          <w:rFonts w:hint="eastAsia" w:ascii="仿宋" w:hAnsi="仿宋" w:eastAsia="仿宋" w:cs="仿宋"/>
          <w:color w:val="000000"/>
          <w:sz w:val="32"/>
          <w:szCs w:val="32"/>
        </w:rPr>
        <w:t>年初预算为</w:t>
      </w:r>
      <w:r>
        <w:rPr>
          <w:rFonts w:hint="eastAsia" w:ascii="仿宋" w:hAnsi="仿宋" w:eastAsia="仿宋" w:cs="仿宋"/>
          <w:color w:val="000000"/>
          <w:sz w:val="32"/>
          <w:szCs w:val="32"/>
          <w:lang w:val="en-US" w:eastAsia="zh-CN"/>
        </w:rPr>
        <w:t>144.77</w:t>
      </w:r>
      <w:r>
        <w:rPr>
          <w:rFonts w:hint="eastAsia" w:ascii="仿宋" w:hAnsi="仿宋" w:eastAsia="仿宋" w:cs="仿宋"/>
          <w:color w:val="000000"/>
          <w:sz w:val="32"/>
          <w:szCs w:val="32"/>
        </w:rPr>
        <w:t>万元，</w:t>
      </w:r>
      <w:r>
        <w:rPr>
          <w:rFonts w:hint="eastAsia" w:ascii="仿宋" w:hAnsi="仿宋" w:eastAsia="仿宋" w:cs="仿宋"/>
          <w:sz w:val="32"/>
          <w:szCs w:val="32"/>
        </w:rPr>
        <w:t>支出决算为</w:t>
      </w:r>
      <w:r>
        <w:rPr>
          <w:rFonts w:hint="eastAsia" w:ascii="仿宋" w:hAnsi="仿宋" w:eastAsia="仿宋" w:cs="仿宋"/>
          <w:color w:val="auto"/>
          <w:sz w:val="32"/>
          <w:szCs w:val="32"/>
          <w:lang w:val="en-US" w:eastAsia="zh-CN"/>
        </w:rPr>
        <w:t>128.26</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88.6</w:t>
      </w:r>
      <w:r>
        <w:rPr>
          <w:rFonts w:hint="eastAsia" w:ascii="仿宋" w:hAnsi="仿宋" w:eastAsia="仿宋" w:cs="仿宋"/>
          <w:sz w:val="32"/>
          <w:szCs w:val="32"/>
        </w:rPr>
        <w:t>%。决算数</w:t>
      </w:r>
      <w:r>
        <w:rPr>
          <w:rFonts w:hint="eastAsia" w:ascii="仿宋" w:hAnsi="仿宋" w:eastAsia="仿宋" w:cs="仿宋"/>
          <w:sz w:val="32"/>
          <w:szCs w:val="32"/>
          <w:lang w:eastAsia="zh-CN"/>
        </w:rPr>
        <w:t>小</w:t>
      </w:r>
      <w:r>
        <w:rPr>
          <w:rFonts w:hint="eastAsia" w:ascii="仿宋" w:hAnsi="仿宋" w:eastAsia="仿宋" w:cs="仿宋"/>
          <w:sz w:val="32"/>
          <w:szCs w:val="32"/>
        </w:rPr>
        <w:t>于预算数的</w:t>
      </w:r>
      <w:r>
        <w:rPr>
          <w:rFonts w:hint="eastAsia" w:ascii="仿宋" w:hAnsi="仿宋" w:eastAsia="仿宋" w:cs="仿宋"/>
          <w:color w:val="auto"/>
          <w:sz w:val="32"/>
          <w:szCs w:val="32"/>
          <w:lang w:val="en-US" w:eastAsia="zh-CN"/>
        </w:rPr>
        <w:t>主要原因是</w:t>
      </w:r>
      <w:r>
        <w:rPr>
          <w:rFonts w:hint="eastAsia" w:ascii="仿宋" w:hAnsi="仿宋" w:eastAsia="仿宋" w:cs="仿宋"/>
          <w:color w:val="auto"/>
          <w:sz w:val="32"/>
          <w:szCs w:val="32"/>
          <w:lang w:eastAsia="zh-CN"/>
        </w:rPr>
        <w:t>预算过大</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b/>
          <w:sz w:val="32"/>
          <w:szCs w:val="32"/>
        </w:rPr>
        <w:t>农林水支出(类)</w:t>
      </w:r>
      <w:r>
        <w:rPr>
          <w:rFonts w:hint="eastAsia" w:ascii="仿宋" w:hAnsi="仿宋" w:eastAsia="仿宋" w:cs="仿宋"/>
        </w:rPr>
        <w:t xml:space="preserve"> </w:t>
      </w:r>
      <w:r>
        <w:rPr>
          <w:rFonts w:hint="eastAsia" w:ascii="仿宋" w:hAnsi="仿宋" w:eastAsia="仿宋" w:cs="仿宋"/>
          <w:b/>
          <w:sz w:val="32"/>
          <w:szCs w:val="32"/>
        </w:rPr>
        <w:t>林业和草原(款)</w:t>
      </w:r>
      <w:r>
        <w:rPr>
          <w:rFonts w:hint="eastAsia" w:ascii="仿宋" w:hAnsi="仿宋" w:eastAsia="仿宋" w:cs="仿宋"/>
        </w:rPr>
        <w:t xml:space="preserve"> </w:t>
      </w:r>
      <w:r>
        <w:rPr>
          <w:rFonts w:hint="eastAsia" w:ascii="仿宋" w:hAnsi="仿宋" w:eastAsia="仿宋" w:cs="仿宋"/>
          <w:b/>
          <w:sz w:val="32"/>
          <w:szCs w:val="32"/>
          <w:lang w:eastAsia="zh-CN"/>
        </w:rPr>
        <w:t>一般行政管理事务</w:t>
      </w:r>
      <w:r>
        <w:rPr>
          <w:rFonts w:hint="eastAsia" w:ascii="仿宋" w:hAnsi="仿宋" w:eastAsia="仿宋" w:cs="仿宋"/>
          <w:b/>
          <w:sz w:val="32"/>
          <w:szCs w:val="32"/>
          <w:lang w:val="en-US" w:eastAsia="zh-CN"/>
        </w:rPr>
        <w:t>(项)</w:t>
      </w:r>
      <w:r>
        <w:rPr>
          <w:rFonts w:hint="eastAsia" w:ascii="仿宋" w:hAnsi="仿宋" w:eastAsia="仿宋" w:cs="仿宋"/>
          <w:b/>
          <w:sz w:val="32"/>
          <w:szCs w:val="32"/>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rPr>
        <w:t>年初预算为</w:t>
      </w:r>
      <w:r>
        <w:rPr>
          <w:rFonts w:hint="eastAsia" w:ascii="仿宋" w:hAnsi="仿宋" w:eastAsia="仿宋" w:cs="仿宋"/>
          <w:color w:val="000000"/>
          <w:sz w:val="32"/>
          <w:szCs w:val="32"/>
          <w:lang w:val="en-US" w:eastAsia="zh-CN"/>
        </w:rPr>
        <w:t>140</w:t>
      </w:r>
      <w:r>
        <w:rPr>
          <w:rFonts w:hint="eastAsia" w:ascii="仿宋" w:hAnsi="仿宋" w:eastAsia="仿宋" w:cs="仿宋"/>
          <w:color w:val="000000"/>
          <w:sz w:val="32"/>
          <w:szCs w:val="32"/>
        </w:rPr>
        <w:t>万元，</w:t>
      </w:r>
      <w:r>
        <w:rPr>
          <w:rFonts w:hint="eastAsia" w:ascii="仿宋" w:hAnsi="仿宋" w:eastAsia="仿宋" w:cs="仿宋"/>
          <w:sz w:val="32"/>
          <w:szCs w:val="32"/>
        </w:rPr>
        <w:t>支出决算为</w:t>
      </w:r>
      <w:r>
        <w:rPr>
          <w:rFonts w:hint="eastAsia" w:ascii="仿宋" w:hAnsi="仿宋" w:eastAsia="仿宋" w:cs="仿宋"/>
          <w:color w:val="auto"/>
          <w:sz w:val="32"/>
          <w:szCs w:val="32"/>
          <w:lang w:val="en-US" w:eastAsia="zh-CN"/>
        </w:rPr>
        <w:t>133.69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95.5</w:t>
      </w:r>
      <w:r>
        <w:rPr>
          <w:rFonts w:hint="eastAsia" w:ascii="仿宋" w:hAnsi="仿宋" w:eastAsia="仿宋" w:cs="仿宋"/>
          <w:sz w:val="32"/>
          <w:szCs w:val="32"/>
        </w:rPr>
        <w:t>%。决算数</w:t>
      </w:r>
      <w:r>
        <w:rPr>
          <w:rFonts w:hint="eastAsia" w:ascii="仿宋" w:hAnsi="仿宋" w:eastAsia="仿宋" w:cs="仿宋"/>
          <w:sz w:val="32"/>
          <w:szCs w:val="32"/>
          <w:lang w:eastAsia="zh-CN"/>
        </w:rPr>
        <w:t>小</w:t>
      </w:r>
      <w:r>
        <w:rPr>
          <w:rFonts w:hint="eastAsia" w:ascii="仿宋" w:hAnsi="仿宋" w:eastAsia="仿宋" w:cs="仿宋"/>
          <w:sz w:val="32"/>
          <w:szCs w:val="32"/>
        </w:rPr>
        <w:t>于预算数的</w:t>
      </w:r>
      <w:r>
        <w:rPr>
          <w:rFonts w:hint="eastAsia" w:ascii="仿宋" w:hAnsi="仿宋" w:eastAsia="仿宋" w:cs="仿宋"/>
          <w:color w:val="auto"/>
          <w:sz w:val="32"/>
          <w:szCs w:val="32"/>
          <w:lang w:val="en-US" w:eastAsia="zh-CN"/>
        </w:rPr>
        <w:t>主要原因是有</w:t>
      </w:r>
      <w:r>
        <w:rPr>
          <w:rFonts w:hint="eastAsia" w:ascii="仿宋" w:hAnsi="仿宋" w:eastAsia="仿宋" w:cs="仿宋"/>
          <w:color w:val="auto"/>
          <w:sz w:val="32"/>
          <w:szCs w:val="32"/>
          <w:lang w:eastAsia="zh-CN"/>
        </w:rPr>
        <w:t>跨年度支付项目</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b/>
          <w:color w:val="auto"/>
          <w:sz w:val="32"/>
          <w:szCs w:val="32"/>
        </w:rPr>
        <w:t>住房保障支出(类)</w:t>
      </w:r>
      <w:r>
        <w:rPr>
          <w:rFonts w:hint="eastAsia" w:ascii="仿宋" w:hAnsi="仿宋" w:eastAsia="仿宋" w:cs="仿宋"/>
          <w:b/>
          <w:color w:val="auto"/>
        </w:rPr>
        <w:t xml:space="preserve"> </w:t>
      </w:r>
      <w:r>
        <w:rPr>
          <w:rFonts w:hint="eastAsia" w:ascii="仿宋" w:hAnsi="仿宋" w:eastAsia="仿宋" w:cs="仿宋"/>
          <w:b/>
          <w:color w:val="auto"/>
          <w:sz w:val="32"/>
          <w:szCs w:val="32"/>
        </w:rPr>
        <w:t>住房改革支出(款)</w:t>
      </w:r>
      <w:r>
        <w:rPr>
          <w:rFonts w:hint="eastAsia" w:ascii="仿宋" w:hAnsi="仿宋" w:eastAsia="仿宋" w:cs="仿宋"/>
          <w:b/>
          <w:color w:val="auto"/>
          <w:sz w:val="32"/>
          <w:szCs w:val="32"/>
          <w:lang w:eastAsia="zh-CN"/>
        </w:rPr>
        <w:t>住房公积金</w:t>
      </w:r>
      <w:r>
        <w:rPr>
          <w:rFonts w:hint="eastAsia" w:ascii="仿宋" w:hAnsi="仿宋" w:eastAsia="仿宋" w:cs="仿宋"/>
          <w:b/>
          <w:color w:val="auto"/>
          <w:sz w:val="32"/>
          <w:szCs w:val="32"/>
          <w:lang w:val="en-US" w:eastAsia="zh-CN"/>
        </w:rPr>
        <w:t>(项)</w:t>
      </w:r>
      <w:r>
        <w:rPr>
          <w:rFonts w:hint="eastAsia" w:ascii="仿宋" w:hAnsi="仿宋" w:eastAsia="仿宋" w:cs="仿宋"/>
          <w:b/>
          <w:color w:val="auto"/>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9.92</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12.39</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124.9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sz w:val="32"/>
          <w:szCs w:val="32"/>
        </w:rPr>
        <w:t>决</w:t>
      </w:r>
      <w:r>
        <w:rPr>
          <w:rFonts w:hint="eastAsia" w:ascii="仿宋" w:hAnsi="仿宋" w:eastAsia="仿宋" w:cs="仿宋"/>
          <w:color w:val="auto"/>
          <w:sz w:val="32"/>
          <w:szCs w:val="32"/>
        </w:rPr>
        <w:t>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预算数的</w:t>
      </w:r>
      <w:r>
        <w:rPr>
          <w:rFonts w:hint="eastAsia" w:ascii="仿宋" w:hAnsi="仿宋" w:eastAsia="仿宋" w:cs="仿宋"/>
          <w:b w:val="0"/>
          <w:bCs w:val="0"/>
          <w:color w:val="auto"/>
          <w:sz w:val="32"/>
          <w:szCs w:val="32"/>
        </w:rPr>
        <w:t>主要</w:t>
      </w:r>
      <w:r>
        <w:rPr>
          <w:rFonts w:hint="eastAsia" w:ascii="仿宋" w:hAnsi="仿宋" w:eastAsia="仿宋" w:cs="仿宋"/>
          <w:b w:val="0"/>
          <w:bCs w:val="0"/>
          <w:color w:val="auto"/>
          <w:sz w:val="32"/>
          <w:szCs w:val="32"/>
          <w:lang w:eastAsia="zh-CN"/>
        </w:rPr>
        <w:t>原因</w:t>
      </w:r>
      <w:r>
        <w:rPr>
          <w:rFonts w:hint="eastAsia" w:ascii="仿宋" w:hAnsi="仿宋" w:eastAsia="仿宋" w:cs="仿宋"/>
          <w:color w:val="auto"/>
          <w:sz w:val="32"/>
          <w:szCs w:val="32"/>
          <w:lang w:eastAsia="zh-CN"/>
        </w:rPr>
        <w:t>是人员工资增加。</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2022年度财政拨款基本支出</w:t>
      </w:r>
      <w:r>
        <w:rPr>
          <w:rFonts w:hint="eastAsia" w:ascii="仿宋" w:hAnsi="仿宋" w:eastAsia="仿宋" w:cs="仿宋"/>
          <w:color w:val="000000"/>
          <w:sz w:val="32"/>
          <w:szCs w:val="32"/>
          <w:highlight w:val="none"/>
          <w:lang w:val="en-US" w:eastAsia="zh-CN"/>
        </w:rPr>
        <w:t>174.27</w:t>
      </w:r>
      <w:r>
        <w:rPr>
          <w:rFonts w:hint="eastAsia" w:ascii="仿宋" w:hAnsi="仿宋" w:eastAsia="仿宋" w:cs="仿宋"/>
          <w:color w:val="000000"/>
          <w:sz w:val="32"/>
          <w:szCs w:val="32"/>
          <w:highlight w:val="none"/>
        </w:rPr>
        <w:t>万元，其中：人员经费</w:t>
      </w:r>
      <w:r>
        <w:rPr>
          <w:rFonts w:hint="eastAsia" w:ascii="仿宋" w:hAnsi="仿宋" w:eastAsia="仿宋" w:cs="仿宋"/>
          <w:color w:val="000000"/>
          <w:sz w:val="32"/>
          <w:szCs w:val="32"/>
          <w:highlight w:val="none"/>
          <w:lang w:val="en-US" w:eastAsia="zh-CN"/>
        </w:rPr>
        <w:t>151.35</w:t>
      </w:r>
      <w:r>
        <w:rPr>
          <w:rFonts w:hint="eastAsia" w:ascii="仿宋" w:hAnsi="仿宋" w:eastAsia="仿宋" w:cs="仿宋"/>
          <w:color w:val="000000"/>
          <w:sz w:val="32"/>
          <w:szCs w:val="32"/>
          <w:highlight w:val="none"/>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eastAsia" w:ascii="仿宋" w:hAnsi="仿宋" w:eastAsia="仿宋" w:cs="仿宋"/>
          <w:color w:val="000000"/>
          <w:sz w:val="32"/>
          <w:szCs w:val="32"/>
          <w:highlight w:val="none"/>
          <w:lang w:val="en-US" w:eastAsia="zh-CN"/>
        </w:rPr>
        <w:t>22.8</w:t>
      </w:r>
      <w:r>
        <w:rPr>
          <w:rFonts w:hint="eastAsia" w:ascii="仿宋" w:hAnsi="仿宋" w:eastAsia="仿宋" w:cs="仿宋"/>
          <w:color w:val="000000"/>
          <w:sz w:val="32"/>
          <w:szCs w:val="32"/>
          <w:highlight w:val="none"/>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w:t>
      </w:r>
      <w:r>
        <w:rPr>
          <w:rFonts w:hint="eastAsia" w:ascii="仿宋" w:hAnsi="仿宋" w:eastAsia="仿宋" w:cs="仿宋"/>
          <w:color w:val="000000"/>
          <w:sz w:val="32"/>
          <w:szCs w:val="32"/>
          <w:highlight w:val="none"/>
          <w:lang w:eastAsia="zh-CN"/>
        </w:rPr>
        <w:t>、经常性</w:t>
      </w:r>
      <w:r>
        <w:rPr>
          <w:rFonts w:hint="eastAsia" w:ascii="仿宋" w:hAnsi="仿宋" w:eastAsia="仿宋" w:cs="仿宋"/>
          <w:color w:val="000000"/>
          <w:sz w:val="32"/>
          <w:szCs w:val="32"/>
          <w:highlight w:val="none"/>
        </w:rPr>
        <w:t>赠予、</w:t>
      </w:r>
      <w:r>
        <w:rPr>
          <w:rFonts w:hint="eastAsia" w:ascii="仿宋" w:hAnsi="仿宋" w:eastAsia="仿宋" w:cs="仿宋"/>
          <w:color w:val="000000"/>
          <w:sz w:val="32"/>
          <w:szCs w:val="32"/>
          <w:highlight w:val="none"/>
          <w:lang w:eastAsia="zh-CN"/>
        </w:rPr>
        <w:t>资本性赠予</w:t>
      </w:r>
      <w:r>
        <w:rPr>
          <w:rFonts w:hint="eastAsia" w:ascii="仿宋" w:hAnsi="仿宋" w:eastAsia="仿宋" w:cs="仿宋"/>
          <w:color w:val="000000"/>
          <w:sz w:val="32"/>
          <w:szCs w:val="32"/>
          <w:highlight w:val="none"/>
        </w:rPr>
        <w:t>和其他支出。</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2022年度政府性基金预算财政拨款支出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万元，占本年支出合计的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%。与2021年度相比，政府性基金预算财政拨款支出增加（减少）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i w:val="0"/>
          <w:iCs w:val="0"/>
          <w:caps w:val="0"/>
          <w:color w:val="4C5157"/>
          <w:spacing w:val="0"/>
          <w:sz w:val="32"/>
          <w:szCs w:val="32"/>
          <w:shd w:val="clear" w:fill="FFFFFF"/>
          <w:lang w:eastAsia="zh-CN"/>
        </w:rPr>
        <w:t>无此业务</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2022年度政府性基金预算财政拨款支出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万元，主要用于以下方面：</w:t>
      </w:r>
      <w:r>
        <w:rPr>
          <w:rFonts w:hint="eastAsia" w:ascii="仿宋" w:hAnsi="仿宋" w:eastAsia="仿宋" w:cs="仿宋"/>
          <w:color w:val="000000"/>
          <w:sz w:val="32"/>
          <w:szCs w:val="32"/>
          <w:highlight w:val="none"/>
          <w:lang w:val="en-US" w:eastAsia="zh-CN"/>
        </w:rPr>
        <w:t>0</w:t>
      </w:r>
      <w:r>
        <w:rPr>
          <w:rFonts w:hint="eastAsia" w:ascii="仿宋" w:hAnsi="仿宋" w:eastAsia="仿宋" w:cs="仿宋"/>
          <w:b/>
          <w:color w:val="000000"/>
          <w:sz w:val="32"/>
          <w:szCs w:val="32"/>
          <w:highlight w:val="none"/>
        </w:rPr>
        <w:t>（类）</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（注：根据各部门（单位）实际支出涉及的支出功能分类类级科目填列）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2022年度政府性基金预算财政拨款支出年初预算为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万元，支出决算为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万元，完成年初预算的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2022年度国有资本经营预算财政拨款支出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万元，占本年支出合计的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%。与2021年度相比，国有资本经营预算财政拨款支出增加（减少）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i w:val="0"/>
          <w:iCs w:val="0"/>
          <w:caps w:val="0"/>
          <w:color w:val="4C5157"/>
          <w:spacing w:val="0"/>
          <w:sz w:val="32"/>
          <w:szCs w:val="32"/>
          <w:shd w:val="clear" w:fill="FFFFFF"/>
          <w:lang w:eastAsia="zh-CN"/>
        </w:rPr>
        <w:t>无此业务</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2022年度国有资本经营预算财政拨款支出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万元，主要用于以下方面：</w:t>
      </w:r>
      <w:r>
        <w:rPr>
          <w:rFonts w:hint="eastAsia" w:ascii="仿宋" w:hAnsi="仿宋" w:eastAsia="仿宋" w:cs="仿宋"/>
          <w:color w:val="000000"/>
          <w:sz w:val="32"/>
          <w:szCs w:val="32"/>
          <w:highlight w:val="none"/>
          <w:lang w:val="en-US" w:eastAsia="zh-CN"/>
        </w:rPr>
        <w:t>0</w:t>
      </w:r>
      <w:r>
        <w:rPr>
          <w:rFonts w:hint="eastAsia" w:ascii="仿宋" w:hAnsi="仿宋" w:eastAsia="仿宋" w:cs="仿宋"/>
          <w:b/>
          <w:bCs/>
          <w:color w:val="000000"/>
          <w:sz w:val="32"/>
          <w:szCs w:val="32"/>
          <w:highlight w:val="none"/>
        </w:rPr>
        <w:t>（类）</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（三）国有资本经营预算财政拨款支出决算具体情况。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2022年度国有资本经营预算财政拨款支出年初预算为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万元，支出决算为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万元，完成年初预算的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（注：根据各部门（单位）实际支出涉及的支出功能分类项级科目填列，本部分2022年决算相关数据取自财决公开08表）。</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2022年度财政拨款“三公”经费支出预算为</w:t>
      </w:r>
      <w:r>
        <w:rPr>
          <w:rFonts w:hint="eastAsia" w:ascii="仿宋" w:hAnsi="仿宋" w:eastAsia="仿宋" w:cs="仿宋"/>
          <w:color w:val="000000"/>
          <w:sz w:val="32"/>
          <w:szCs w:val="32"/>
          <w:highlight w:val="none"/>
          <w:lang w:val="en-US" w:eastAsia="zh-CN"/>
        </w:rPr>
        <w:t>3.5</w:t>
      </w:r>
      <w:r>
        <w:rPr>
          <w:rFonts w:hint="eastAsia" w:ascii="仿宋" w:hAnsi="仿宋" w:eastAsia="仿宋" w:cs="仿宋"/>
          <w:color w:val="000000"/>
          <w:sz w:val="32"/>
          <w:szCs w:val="32"/>
          <w:highlight w:val="none"/>
        </w:rPr>
        <w:t>万元，支出决算为</w:t>
      </w:r>
      <w:r>
        <w:rPr>
          <w:rFonts w:hint="eastAsia" w:ascii="仿宋" w:hAnsi="仿宋" w:eastAsia="仿宋" w:cs="仿宋"/>
          <w:color w:val="000000"/>
          <w:sz w:val="32"/>
          <w:szCs w:val="32"/>
          <w:highlight w:val="none"/>
          <w:lang w:val="en-US" w:eastAsia="zh-CN"/>
        </w:rPr>
        <w:t>2.57</w:t>
      </w:r>
      <w:r>
        <w:rPr>
          <w:rFonts w:hint="eastAsia" w:ascii="仿宋" w:hAnsi="仿宋" w:eastAsia="仿宋" w:cs="仿宋"/>
          <w:color w:val="000000"/>
          <w:sz w:val="32"/>
          <w:szCs w:val="32"/>
          <w:highlight w:val="none"/>
        </w:rPr>
        <w:t>万元，完成预算的</w:t>
      </w:r>
      <w:r>
        <w:rPr>
          <w:rFonts w:hint="eastAsia" w:ascii="仿宋" w:hAnsi="仿宋" w:eastAsia="仿宋" w:cs="仿宋"/>
          <w:color w:val="000000"/>
          <w:sz w:val="32"/>
          <w:szCs w:val="32"/>
          <w:highlight w:val="none"/>
          <w:lang w:val="en-US" w:eastAsia="zh-CN"/>
        </w:rPr>
        <w:t>73.4</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 xml:space="preserve">   </w:t>
      </w:r>
      <w:r>
        <w:rPr>
          <w:rFonts w:hint="eastAsia" w:ascii="仿宋" w:hAnsi="仿宋" w:eastAsia="仿宋" w:cs="仿宋"/>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2022年度财政拨款“三公”经费支出决算中，因公出国（境）费支出决算</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%；公务用车购置及运行维护费支出决算</w:t>
      </w:r>
      <w:r>
        <w:rPr>
          <w:rFonts w:hint="eastAsia" w:ascii="仿宋" w:hAnsi="仿宋" w:eastAsia="仿宋" w:cs="仿宋"/>
          <w:color w:val="000000"/>
          <w:sz w:val="32"/>
          <w:szCs w:val="32"/>
          <w:highlight w:val="none"/>
          <w:lang w:val="en-US" w:eastAsia="zh-CN"/>
        </w:rPr>
        <w:t>2.57</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100</w:t>
      </w:r>
      <w:r>
        <w:rPr>
          <w:rFonts w:hint="eastAsia" w:ascii="仿宋" w:hAnsi="仿宋" w:eastAsia="仿宋" w:cs="仿宋"/>
          <w:color w:val="000000"/>
          <w:sz w:val="32"/>
          <w:szCs w:val="32"/>
          <w:highlight w:val="none"/>
        </w:rPr>
        <w:t>%；公务接待费支出决算</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1.因公出国（境）费</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万元。全年安排因公出国（境）团组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个，因公出国（境）</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因公出国（境）费支出决算比预算数增加（减少）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rPr>
        <w:t>无此业务</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 xml:space="preserve">    2.公务用车购置及运行维护费支出</w:t>
      </w:r>
      <w:r>
        <w:rPr>
          <w:rFonts w:hint="eastAsia" w:ascii="仿宋" w:hAnsi="仿宋" w:eastAsia="仿宋" w:cs="仿宋"/>
          <w:color w:val="000000"/>
          <w:sz w:val="32"/>
          <w:szCs w:val="32"/>
          <w:highlight w:val="none"/>
          <w:lang w:val="en-US" w:eastAsia="zh-CN"/>
        </w:rPr>
        <w:t>2.57</w:t>
      </w:r>
      <w:r>
        <w:rPr>
          <w:rFonts w:hint="eastAsia" w:ascii="仿宋" w:hAnsi="仿宋" w:eastAsia="仿宋" w:cs="仿宋"/>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公务用车购置支出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万元，全年购置公务用车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辆，主要用于</w:t>
      </w:r>
      <w:r>
        <w:rPr>
          <w:rFonts w:hint="eastAsia" w:ascii="仿宋" w:hAnsi="仿宋" w:eastAsia="仿宋" w:cs="仿宋"/>
          <w:color w:val="000000"/>
          <w:sz w:val="32"/>
          <w:szCs w:val="32"/>
          <w:highlight w:val="none"/>
          <w:lang w:eastAsia="zh-CN"/>
        </w:rPr>
        <w:t>无此业务</w:t>
      </w:r>
      <w:r>
        <w:rPr>
          <w:rFonts w:hint="eastAsia" w:ascii="仿宋" w:hAnsi="仿宋" w:eastAsia="仿宋" w:cs="仿宋"/>
          <w:color w:val="000000"/>
          <w:sz w:val="32"/>
          <w:szCs w:val="32"/>
          <w:highlight w:val="none"/>
        </w:rPr>
        <w:t>，年末公务用车保有量</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公务用车运行维护费</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2.57</w:t>
      </w:r>
      <w:r>
        <w:rPr>
          <w:rFonts w:hint="eastAsia" w:ascii="仿宋" w:hAnsi="仿宋" w:eastAsia="仿宋" w:cs="仿宋"/>
          <w:color w:val="000000"/>
          <w:sz w:val="32"/>
          <w:szCs w:val="32"/>
          <w:highlight w:val="none"/>
        </w:rPr>
        <w:t>万元，主要用于</w:t>
      </w:r>
      <w:r>
        <w:rPr>
          <w:rFonts w:hint="eastAsia" w:ascii="仿宋" w:hAnsi="仿宋" w:eastAsia="仿宋" w:cs="仿宋"/>
          <w:i w:val="0"/>
          <w:iCs w:val="0"/>
          <w:caps w:val="0"/>
          <w:color w:val="4C5157"/>
          <w:spacing w:val="0"/>
          <w:sz w:val="32"/>
          <w:szCs w:val="32"/>
          <w:shd w:val="clear" w:fill="FFFFFF"/>
        </w:rPr>
        <w:t>公务车运行维护、燃油和保险等费用</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公务用车购置及运行费支出决算数</w:t>
      </w:r>
      <w:r>
        <w:rPr>
          <w:rFonts w:hint="eastAsia" w:ascii="仿宋" w:hAnsi="仿宋" w:eastAsia="仿宋" w:cs="仿宋"/>
          <w:color w:val="000000"/>
          <w:sz w:val="32"/>
          <w:szCs w:val="32"/>
          <w:highlight w:val="none"/>
        </w:rPr>
        <w:t>比预算数减少</w:t>
      </w:r>
      <w:r>
        <w:rPr>
          <w:rFonts w:hint="eastAsia" w:ascii="仿宋" w:hAnsi="仿宋" w:eastAsia="仿宋" w:cs="仿宋"/>
          <w:color w:val="000000"/>
          <w:sz w:val="32"/>
          <w:szCs w:val="32"/>
          <w:highlight w:val="none"/>
          <w:lang w:val="en-US" w:eastAsia="zh-CN"/>
        </w:rPr>
        <w:t>0.93</w:t>
      </w:r>
      <w:r>
        <w:rPr>
          <w:rFonts w:hint="eastAsia" w:ascii="仿宋" w:hAnsi="仿宋" w:eastAsia="仿宋" w:cs="仿宋"/>
          <w:color w:val="000000"/>
          <w:sz w:val="32"/>
          <w:szCs w:val="32"/>
          <w:highlight w:val="none"/>
        </w:rPr>
        <w:t>万元，增长</w:t>
      </w:r>
      <w:r>
        <w:rPr>
          <w:rFonts w:hint="eastAsia" w:ascii="仿宋" w:hAnsi="仿宋" w:eastAsia="仿宋" w:cs="仿宋"/>
          <w:color w:val="000000"/>
          <w:sz w:val="32"/>
          <w:szCs w:val="32"/>
          <w:highlight w:val="none"/>
          <w:lang w:val="en-US" w:eastAsia="zh-CN"/>
        </w:rPr>
        <w:t>15.6</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rPr>
        <w:t>车辆使用年限达</w:t>
      </w:r>
      <w:r>
        <w:rPr>
          <w:rFonts w:hint="eastAsia" w:ascii="仿宋" w:hAnsi="仿宋" w:eastAsia="仿宋" w:cs="仿宋"/>
          <w:color w:val="000000"/>
          <w:sz w:val="32"/>
          <w:szCs w:val="32"/>
          <w:highlight w:val="none"/>
          <w:lang w:val="en-US" w:eastAsia="zh-CN"/>
        </w:rPr>
        <w:t>15年</w:t>
      </w:r>
      <w:r>
        <w:rPr>
          <w:rFonts w:hint="eastAsia" w:ascii="仿宋" w:hAnsi="仿宋" w:eastAsia="仿宋" w:cs="仿宋"/>
          <w:color w:val="000000"/>
          <w:sz w:val="32"/>
          <w:szCs w:val="32"/>
          <w:highlight w:val="none"/>
          <w:lang w:eastAsia="zh-CN"/>
        </w:rPr>
        <w:t>，运行维护费增加</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 xml:space="preserve">    3.公务接待费支出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rPr>
        <w:t>国内接待费</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万元，国内公务接待</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批次，接待</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国（境）外接待费支出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万元，国（境）外公务接待</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批次，接待</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公务接待费支出决算数比预算数增加（减少）</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万元，增长（下降）</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rPr>
        <w:t>无此业务</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lang w:eastAsia="zh-CN"/>
        </w:rPr>
        <w:t>（一）</w:t>
      </w:r>
      <w:r>
        <w:rPr>
          <w:rFonts w:hint="eastAsia" w:ascii="仿宋" w:hAnsi="仿宋" w:eastAsia="仿宋" w:cs="仿宋"/>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根据财政预算</w:t>
      </w:r>
      <w:r>
        <w:rPr>
          <w:rFonts w:hint="eastAsia" w:ascii="仿宋" w:hAnsi="仿宋" w:eastAsia="仿宋" w:cs="仿宋"/>
          <w:color w:val="000000"/>
          <w:sz w:val="32"/>
          <w:szCs w:val="32"/>
          <w:highlight w:val="none"/>
          <w:lang w:eastAsia="zh-CN"/>
        </w:rPr>
        <w:t>绩效</w:t>
      </w:r>
      <w:r>
        <w:rPr>
          <w:rFonts w:hint="eastAsia" w:ascii="仿宋" w:hAnsi="仿宋" w:eastAsia="仿宋" w:cs="仿宋"/>
          <w:color w:val="000000"/>
          <w:sz w:val="32"/>
          <w:szCs w:val="32"/>
          <w:highlight w:val="none"/>
        </w:rPr>
        <w:t>管理要求，</w:t>
      </w:r>
      <w:r>
        <w:rPr>
          <w:rFonts w:hint="eastAsia" w:ascii="仿宋" w:hAnsi="仿宋" w:eastAsia="仿宋" w:cs="仿宋"/>
          <w:color w:val="000000"/>
          <w:sz w:val="32"/>
          <w:szCs w:val="32"/>
          <w:highlight w:val="none"/>
          <w:lang w:eastAsia="zh-CN"/>
        </w:rPr>
        <w:t>可</w:t>
      </w:r>
      <w:r>
        <w:rPr>
          <w:rFonts w:hint="eastAsia" w:ascii="仿宋" w:hAnsi="仿宋" w:eastAsia="仿宋" w:cs="仿宋"/>
          <w:color w:val="000000"/>
          <w:sz w:val="32"/>
          <w:szCs w:val="32"/>
          <w:highlight w:val="none"/>
        </w:rPr>
        <w:t>按照如下格式说明：根据预算管理要求，我部门（单位）组织对</w:t>
      </w:r>
      <w:r>
        <w:rPr>
          <w:rFonts w:hint="eastAsia" w:ascii="仿宋" w:hAnsi="仿宋" w:eastAsia="仿宋" w:cs="仿宋"/>
          <w:color w:val="000000"/>
          <w:sz w:val="32"/>
          <w:szCs w:val="32"/>
          <w:highlight w:val="none"/>
          <w:lang w:eastAsia="zh-CN"/>
        </w:rPr>
        <w:t>202</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lang w:eastAsia="zh-CN"/>
        </w:rPr>
        <w:t>年度</w:t>
      </w:r>
      <w:r>
        <w:rPr>
          <w:rFonts w:hint="eastAsia" w:ascii="仿宋" w:hAnsi="仿宋" w:eastAsia="仿宋" w:cs="仿宋"/>
          <w:color w:val="000000"/>
          <w:sz w:val="32"/>
          <w:szCs w:val="32"/>
          <w:highlight w:val="none"/>
        </w:rPr>
        <w:t>一般公共预算项目支出全面开展绩效自评。</w:t>
      </w:r>
      <w:r>
        <w:rPr>
          <w:rFonts w:hint="eastAsia" w:ascii="仿宋" w:hAnsi="仿宋" w:eastAsia="仿宋" w:cs="仿宋"/>
          <w:color w:val="000000"/>
          <w:kern w:val="2"/>
          <w:sz w:val="32"/>
          <w:szCs w:val="32"/>
          <w:highlight w:val="none"/>
          <w:lang w:val="en-US" w:eastAsia="zh-CN" w:bidi="ar"/>
        </w:rPr>
        <w:t>其中，自评项目1个，共涉及资金110万元，占一般公共预算项目支出总额的100%。组织对2022年度0个政府性基金预算项目开展绩效自评，共涉及资金0万元，占政府性基金预算项目支出总额的0%。组织对2022年度0个国有资本经营预算项目开展绩效自评，共涉及资金0万元，占国有资本经营预算项目支出总额的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共组织对“</w:t>
      </w:r>
      <w:r>
        <w:rPr>
          <w:rFonts w:hint="eastAsia" w:ascii="仿宋" w:hAnsi="仿宋" w:eastAsia="仿宋" w:cs="仿宋"/>
          <w:color w:val="000000"/>
          <w:sz w:val="32"/>
          <w:szCs w:val="32"/>
          <w:highlight w:val="none"/>
          <w:lang w:eastAsia="zh-CN"/>
        </w:rPr>
        <w:t>森林病虫害防治</w:t>
      </w:r>
      <w:r>
        <w:rPr>
          <w:rFonts w:hint="eastAsia" w:ascii="仿宋" w:hAnsi="仿宋" w:eastAsia="仿宋" w:cs="仿宋"/>
          <w:color w:val="000000"/>
          <w:sz w:val="32"/>
          <w:szCs w:val="32"/>
          <w:highlight w:val="none"/>
        </w:rPr>
        <w:t>”等</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个项目</w:t>
      </w:r>
      <w:r>
        <w:rPr>
          <w:rFonts w:hint="eastAsia" w:ascii="仿宋" w:hAnsi="仿宋" w:eastAsia="仿宋" w:cs="仿宋"/>
          <w:color w:val="000000"/>
          <w:sz w:val="32"/>
          <w:szCs w:val="32"/>
          <w:highlight w:val="none"/>
          <w:lang w:eastAsia="zh-CN"/>
        </w:rPr>
        <w:t>开展了部门</w:t>
      </w:r>
      <w:r>
        <w:rPr>
          <w:rFonts w:hint="eastAsia" w:ascii="仿宋" w:hAnsi="仿宋" w:eastAsia="仿宋" w:cs="仿宋"/>
          <w:color w:val="000000"/>
          <w:sz w:val="32"/>
          <w:szCs w:val="32"/>
          <w:highlight w:val="none"/>
        </w:rPr>
        <w:t>评价，</w:t>
      </w:r>
      <w:r>
        <w:rPr>
          <w:rFonts w:hint="eastAsia" w:ascii="仿宋" w:hAnsi="仿宋" w:eastAsia="仿宋" w:cs="仿宋"/>
          <w:color w:val="000000"/>
          <w:kern w:val="2"/>
          <w:sz w:val="32"/>
          <w:szCs w:val="32"/>
          <w:highlight w:val="none"/>
          <w:lang w:val="en-US" w:eastAsia="zh-CN" w:bidi="ar"/>
        </w:rPr>
        <w:t>涉及一般公共预算支出110万元，政府性基金预算支出0万元，国有资本经营预算支出0万元。</w:t>
      </w:r>
      <w:r>
        <w:rPr>
          <w:rFonts w:hint="eastAsia" w:ascii="仿宋" w:hAnsi="仿宋" w:eastAsia="仿宋" w:cs="仿宋"/>
          <w:color w:val="000000"/>
          <w:sz w:val="32"/>
          <w:szCs w:val="32"/>
          <w:highlight w:val="none"/>
        </w:rPr>
        <w:t>从</w:t>
      </w:r>
      <w:r>
        <w:rPr>
          <w:rFonts w:hint="eastAsia" w:ascii="仿宋" w:hAnsi="仿宋" w:eastAsia="仿宋" w:cs="仿宋"/>
          <w:color w:val="auto"/>
          <w:sz w:val="32"/>
          <w:szCs w:val="32"/>
          <w:lang w:val="en-US" w:eastAsia="zh-CN"/>
        </w:rPr>
        <w:t>从评价情况来看，总的认为市财政局预算安排一般行政管理事务经费政策依据充分，符合规定和实际工作需要，制定目标明确，政策和需求依据充分，资金按照年初预算的用途使用，严格按照财务管理依法依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eastAsia="zh-CN"/>
        </w:rPr>
        <w:t>（二）</w:t>
      </w:r>
      <w:r>
        <w:rPr>
          <w:rFonts w:hint="eastAsia" w:ascii="仿宋" w:hAnsi="仿宋" w:eastAsia="仿宋" w:cs="仿宋"/>
          <w:b w:val="0"/>
          <w:bCs/>
          <w:color w:val="000000"/>
          <w:sz w:val="32"/>
          <w:szCs w:val="32"/>
          <w:highlight w:val="none"/>
        </w:rPr>
        <w:t>部门决算中项目绩效自评结果</w:t>
      </w:r>
      <w:r>
        <w:rPr>
          <w:rFonts w:hint="eastAsia" w:ascii="仿宋" w:hAnsi="仿宋" w:eastAsia="仿宋" w:cs="仿宋"/>
          <w:b w:val="0"/>
          <w:bCs/>
          <w:color w:val="000000"/>
          <w:sz w:val="32"/>
          <w:szCs w:val="32"/>
          <w:highlight w:val="none"/>
          <w:lang w:eastAsia="zh-CN"/>
        </w:rPr>
        <w:t>（预算部门、单位可根据实际情况反映重点项目绩效自评结果）</w:t>
      </w:r>
      <w:r>
        <w:rPr>
          <w:rFonts w:hint="eastAsia" w:ascii="仿宋" w:hAnsi="仿宋" w:eastAsia="仿宋" w:cs="仿宋"/>
          <w:b w:val="0"/>
          <w:bCs/>
          <w:color w:val="000000"/>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“森林病虫害防治”</w:t>
      </w:r>
      <w:r>
        <w:rPr>
          <w:rFonts w:hint="eastAsia" w:ascii="仿宋" w:hAnsi="仿宋" w:eastAsia="仿宋" w:cs="仿宋"/>
          <w:color w:val="000000" w:themeColor="text1"/>
          <w:sz w:val="32"/>
          <w:szCs w:val="32"/>
          <w14:textFill>
            <w14:solidFill>
              <w14:schemeClr w14:val="tx1"/>
            </w14:solidFill>
          </w14:textFill>
        </w:rPr>
        <w:t>项目绩效自评表：</w:t>
      </w:r>
    </w:p>
    <w:p>
      <w:pPr>
        <w:numPr>
          <w:ilvl w:val="0"/>
          <w:numId w:val="0"/>
        </w:numPr>
        <w:ind w:firstLine="640"/>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“森林病虫害防治”</w:t>
      </w:r>
      <w:r>
        <w:rPr>
          <w:rFonts w:hint="eastAsia" w:ascii="仿宋" w:hAnsi="仿宋" w:eastAsia="仿宋" w:cs="仿宋"/>
          <w:color w:val="000000" w:themeColor="text1"/>
          <w:sz w:val="32"/>
          <w:szCs w:val="32"/>
          <w14:textFill>
            <w14:solidFill>
              <w14:schemeClr w14:val="tx1"/>
            </w14:solidFill>
          </w14:textFill>
        </w:rPr>
        <w:t>项目绩效自评报告：根据年初设定的绩效目标，全年预算数为</w:t>
      </w:r>
      <w:r>
        <w:rPr>
          <w:rFonts w:hint="eastAsia" w:ascii="仿宋" w:hAnsi="仿宋" w:eastAsia="仿宋" w:cs="仿宋"/>
          <w:color w:val="000000" w:themeColor="text1"/>
          <w:sz w:val="32"/>
          <w:szCs w:val="32"/>
          <w:lang w:val="en-US" w:eastAsia="zh-CN"/>
          <w14:textFill>
            <w14:solidFill>
              <w14:schemeClr w14:val="tx1"/>
            </w14:solidFill>
          </w14:textFill>
        </w:rPr>
        <w:t>110</w:t>
      </w:r>
      <w:r>
        <w:rPr>
          <w:rFonts w:hint="eastAsia" w:ascii="仿宋" w:hAnsi="仿宋" w:eastAsia="仿宋" w:cs="仿宋"/>
          <w:color w:val="000000" w:themeColor="text1"/>
          <w:sz w:val="32"/>
          <w:szCs w:val="32"/>
          <w14:textFill>
            <w14:solidFill>
              <w14:schemeClr w14:val="tx1"/>
            </w14:solidFill>
          </w14:textFill>
        </w:rPr>
        <w:t>万元，执行数为</w:t>
      </w:r>
      <w:r>
        <w:rPr>
          <w:rFonts w:hint="eastAsia" w:ascii="仿宋" w:hAnsi="仿宋" w:eastAsia="仿宋" w:cs="仿宋"/>
          <w:color w:val="000000" w:themeColor="text1"/>
          <w:sz w:val="32"/>
          <w:szCs w:val="32"/>
          <w:lang w:val="en-US" w:eastAsia="zh-CN"/>
          <w14:textFill>
            <w14:solidFill>
              <w14:schemeClr w14:val="tx1"/>
            </w14:solidFill>
          </w14:textFill>
        </w:rPr>
        <w:t>109.9</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99.9</w:t>
      </w:r>
      <w:r>
        <w:rPr>
          <w:rFonts w:hint="eastAsia" w:ascii="仿宋" w:hAnsi="仿宋" w:eastAsia="仿宋" w:cs="仿宋"/>
          <w:color w:val="000000" w:themeColor="text1"/>
          <w:sz w:val="32"/>
          <w:szCs w:val="32"/>
          <w:lang w:val="en-US"/>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绩效目标完成情况：</w:t>
      </w:r>
      <w:r>
        <w:rPr>
          <w:rFonts w:hint="eastAsia" w:ascii="仿宋" w:hAnsi="仿宋" w:eastAsia="仿宋" w:cs="仿宋"/>
          <w:color w:val="000000" w:themeColor="text1"/>
          <w:sz w:val="32"/>
          <w:szCs w:val="32"/>
          <w:lang w:val="en-US" w:eastAsia="zh-CN"/>
          <w14:textFill>
            <w14:solidFill>
              <w14:schemeClr w14:val="tx1"/>
            </w14:solidFill>
          </w14:textFill>
        </w:rPr>
        <w:t>项目绩效目标完成情况优秀，完全达到了项目年初申请时设定的绩效目标，</w:t>
      </w:r>
      <w:r>
        <w:rPr>
          <w:rFonts w:hint="eastAsia" w:ascii="仿宋" w:hAnsi="仿宋" w:eastAsia="仿宋" w:cs="仿宋"/>
          <w:color w:val="000000" w:themeColor="text1"/>
          <w:sz w:val="32"/>
          <w:szCs w:val="32"/>
          <w14:textFill>
            <w14:solidFill>
              <w14:schemeClr w14:val="tx1"/>
            </w14:solidFill>
          </w14:textFill>
        </w:rPr>
        <w:t>项目绩效自评得分为</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预算编制合情合理，落实了</w:t>
      </w:r>
      <w:r>
        <w:rPr>
          <w:rFonts w:hint="eastAsia" w:ascii="仿宋" w:hAnsi="仿宋" w:eastAsia="仿宋" w:cs="仿宋"/>
          <w:color w:val="000000" w:themeColor="text1"/>
          <w:sz w:val="32"/>
          <w:szCs w:val="32"/>
          <w:lang w:eastAsia="zh-CN"/>
          <w14:textFill>
            <w14:solidFill>
              <w14:schemeClr w14:val="tx1"/>
            </w14:solidFill>
          </w14:textFill>
        </w:rPr>
        <w:t>合法合理的支付</w:t>
      </w:r>
      <w:r>
        <w:rPr>
          <w:rFonts w:hint="eastAsia" w:ascii="仿宋" w:hAnsi="仿宋" w:eastAsia="仿宋" w:cs="仿宋"/>
          <w:color w:val="000000" w:themeColor="text1"/>
          <w:sz w:val="32"/>
          <w:szCs w:val="32"/>
          <w:lang w:val="en-US" w:eastAsia="zh-CN"/>
          <w14:textFill>
            <w14:solidFill>
              <w14:schemeClr w14:val="tx1"/>
            </w14:solidFill>
          </w14:textFill>
        </w:rPr>
        <w:t>资金，整体项目效果和社会效益很好。主要产出和效果：通过森林病虫害防治项目的实施，保障了森林的健康生长，绩效产出和效果情况达到了年初项目申请时设定的目标。发现的主要问题及原因：无问题。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lang w:eastAsia="zh-CN"/>
        </w:rPr>
        <w:t>（三）</w:t>
      </w:r>
      <w:r>
        <w:rPr>
          <w:rFonts w:hint="eastAsia" w:ascii="仿宋" w:hAnsi="仿宋" w:eastAsia="仿宋" w:cs="仿宋"/>
          <w:b w:val="0"/>
          <w:bCs/>
          <w:color w:val="000000"/>
          <w:sz w:val="32"/>
          <w:szCs w:val="32"/>
          <w:highlight w:val="none"/>
          <w:lang w:val="en-US"/>
        </w:rPr>
        <w:t>部门评价结果</w:t>
      </w:r>
      <w:r>
        <w:rPr>
          <w:rFonts w:hint="eastAsia" w:ascii="仿宋" w:hAnsi="仿宋" w:eastAsia="仿宋" w:cs="仿宋"/>
          <w:b w:val="0"/>
          <w:bCs/>
          <w:color w:val="000000"/>
          <w:sz w:val="32"/>
          <w:szCs w:val="32"/>
          <w:highlight w:val="none"/>
          <w:lang w:val="en-US" w:eastAsia="zh-CN"/>
        </w:rPr>
        <w:t>（预算部门填写，部门所属单位不需填写）</w:t>
      </w:r>
      <w:r>
        <w:rPr>
          <w:rFonts w:hint="eastAsia" w:ascii="仿宋" w:hAnsi="仿宋" w:eastAsia="仿宋" w:cs="仿宋"/>
          <w:b w:val="0"/>
          <w:bCs/>
          <w:color w:val="000000"/>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lang w:eastAsia="zh-CN"/>
        </w:rPr>
      </w:pPr>
      <w:r>
        <w:rPr>
          <w:rFonts w:hint="eastAsia" w:ascii="仿宋" w:hAnsi="仿宋" w:eastAsia="仿宋" w:cs="仿宋"/>
          <w:b w:val="0"/>
          <w:bCs/>
          <w:color w:val="000000"/>
          <w:sz w:val="32"/>
          <w:szCs w:val="32"/>
          <w:highlight w:val="none"/>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lang w:eastAsia="zh-CN"/>
        </w:rPr>
        <w:t>（四）财政评价结果</w:t>
      </w:r>
      <w:r>
        <w:rPr>
          <w:rFonts w:hint="eastAsia" w:ascii="仿宋" w:hAnsi="仿宋" w:eastAsia="仿宋" w:cs="仿宋"/>
          <w:b w:val="0"/>
          <w:bCs/>
          <w:color w:val="000000"/>
          <w:sz w:val="32"/>
          <w:szCs w:val="32"/>
          <w:highlight w:val="none"/>
        </w:rPr>
        <w:t>（如有）。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val="zh-CN"/>
        </w:rPr>
      </w:pPr>
      <w:r>
        <w:rPr>
          <w:rFonts w:hint="eastAsia" w:ascii="仿宋" w:hAnsi="仿宋" w:eastAsia="仿宋" w:cs="仿宋"/>
          <w:color w:val="000000"/>
          <w:sz w:val="32"/>
          <w:szCs w:val="32"/>
          <w:highlight w:val="none"/>
          <w:lang w:val="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bookmarkStart w:id="95" w:name="_Toc23598_WPSOffice_Level2"/>
      <w:bookmarkStart w:id="96" w:name="_Toc32639_WPSOffice_Level2"/>
      <w:bookmarkStart w:id="97" w:name="_Toc15565_WPSOffice_Level2"/>
      <w:bookmarkStart w:id="98" w:name="_Toc5978_WPSOffice_Level2"/>
      <w:bookmarkStart w:id="99" w:name="_Toc18325_WPSOffice_Level2"/>
      <w:bookmarkStart w:id="100" w:name="_Toc15262_WPSOffice_Level2"/>
      <w:r>
        <w:rPr>
          <w:rFonts w:hint="eastAsia" w:ascii="仿宋" w:hAnsi="仿宋" w:eastAsia="仿宋" w:cs="仿宋"/>
          <w:bCs/>
          <w:color w:val="000000"/>
          <w:sz w:val="32"/>
          <w:szCs w:val="32"/>
          <w:highlight w:val="none"/>
        </w:rPr>
        <w:t>（一）机关运行经费支出情况。</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eastAsia="zh-CN" w:bidi="ar"/>
        </w:rPr>
      </w:pPr>
      <w:r>
        <w:rPr>
          <w:rFonts w:hint="eastAsia" w:ascii="仿宋" w:hAnsi="仿宋" w:eastAsia="仿宋" w:cs="仿宋"/>
          <w:color w:val="000000"/>
          <w:sz w:val="32"/>
          <w:szCs w:val="32"/>
          <w:highlight w:val="none"/>
        </w:rPr>
        <w:t>2022年度</w:t>
      </w:r>
      <w:r>
        <w:rPr>
          <w:rFonts w:hint="eastAsia" w:ascii="仿宋" w:hAnsi="仿宋" w:eastAsia="仿宋" w:cs="仿宋"/>
          <w:color w:val="000000"/>
          <w:sz w:val="32"/>
          <w:szCs w:val="32"/>
          <w:highlight w:val="none"/>
          <w:lang w:eastAsia="zh-CN"/>
        </w:rPr>
        <w:t>海口市森林病虫害防治检疫站</w:t>
      </w:r>
      <w:r>
        <w:rPr>
          <w:rFonts w:hint="eastAsia" w:ascii="仿宋" w:hAnsi="仿宋" w:eastAsia="仿宋" w:cs="仿宋"/>
          <w:color w:val="000000"/>
          <w:sz w:val="32"/>
          <w:szCs w:val="32"/>
          <w:highlight w:val="none"/>
        </w:rPr>
        <w:t>机关运行经费</w:t>
      </w:r>
      <w:r>
        <w:rPr>
          <w:rFonts w:hint="eastAsia" w:ascii="仿宋" w:hAnsi="仿宋" w:eastAsia="仿宋" w:cs="仿宋"/>
          <w:color w:val="000000"/>
          <w:sz w:val="32"/>
          <w:szCs w:val="32"/>
          <w:highlight w:val="none"/>
          <w:lang w:val="en-US" w:eastAsia="zh-CN"/>
        </w:rPr>
        <w:t>22.8</w:t>
      </w:r>
      <w:r>
        <w:rPr>
          <w:rFonts w:hint="eastAsia" w:ascii="仿宋" w:hAnsi="仿宋" w:eastAsia="仿宋" w:cs="仿宋"/>
          <w:color w:val="000000"/>
          <w:sz w:val="32"/>
          <w:szCs w:val="32"/>
          <w:highlight w:val="none"/>
        </w:rPr>
        <w:t>万元（为部门决算中行政单位和参公事业单位财政拨款基本支出中公用经费支出之和，事业单位没有机关运行经费支出），比年初预算增加</w:t>
      </w:r>
      <w:r>
        <w:rPr>
          <w:rFonts w:hint="eastAsia" w:ascii="仿宋" w:hAnsi="仿宋" w:eastAsia="仿宋" w:cs="仿宋"/>
          <w:color w:val="000000"/>
          <w:sz w:val="32"/>
          <w:szCs w:val="32"/>
          <w:highlight w:val="none"/>
          <w:lang w:val="en-US" w:eastAsia="zh-CN"/>
        </w:rPr>
        <w:t>0.7</w:t>
      </w:r>
      <w:r>
        <w:rPr>
          <w:rFonts w:hint="eastAsia" w:ascii="仿宋" w:hAnsi="仿宋" w:eastAsia="仿宋" w:cs="仿宋"/>
          <w:color w:val="000000"/>
          <w:sz w:val="32"/>
          <w:szCs w:val="32"/>
          <w:highlight w:val="none"/>
        </w:rPr>
        <w:t>万元，增长</w:t>
      </w:r>
      <w:r>
        <w:rPr>
          <w:rFonts w:hint="eastAsia" w:ascii="仿宋" w:hAnsi="仿宋" w:eastAsia="仿宋" w:cs="仿宋"/>
          <w:color w:val="000000"/>
          <w:sz w:val="32"/>
          <w:szCs w:val="32"/>
          <w:highlight w:val="none"/>
          <w:lang w:val="en-US" w:eastAsia="zh-CN"/>
        </w:rPr>
        <w:t>3.2</w:t>
      </w:r>
      <w:r>
        <w:rPr>
          <w:rFonts w:hint="eastAsia" w:ascii="仿宋" w:hAnsi="仿宋" w:eastAsia="仿宋" w:cs="仿宋"/>
          <w:color w:val="000000"/>
          <w:sz w:val="32"/>
          <w:szCs w:val="32"/>
          <w:highlight w:val="none"/>
        </w:rPr>
        <w:t>%。主要原因是：</w:t>
      </w:r>
      <w:r>
        <w:rPr>
          <w:rFonts w:hint="eastAsia" w:ascii="仿宋" w:hAnsi="仿宋" w:eastAsia="仿宋" w:cs="仿宋"/>
          <w:color w:val="000000"/>
          <w:sz w:val="32"/>
          <w:szCs w:val="32"/>
          <w:highlight w:val="none"/>
          <w:lang w:eastAsia="zh-CN" w:bidi="ar"/>
        </w:rPr>
        <w:t>固定资产（车辆除外）</w:t>
      </w:r>
      <w:r>
        <w:rPr>
          <w:rFonts w:hint="eastAsia" w:ascii="仿宋" w:hAnsi="仿宋" w:eastAsia="仿宋" w:cs="仿宋"/>
          <w:color w:val="000000"/>
          <w:sz w:val="32"/>
          <w:szCs w:val="32"/>
          <w:highlight w:val="none"/>
          <w:lang w:bidi="ar"/>
        </w:rPr>
        <w:t>运行维护支出</w:t>
      </w:r>
      <w:r>
        <w:rPr>
          <w:rFonts w:hint="eastAsia" w:ascii="仿宋" w:hAnsi="仿宋" w:eastAsia="仿宋" w:cs="仿宋"/>
          <w:color w:val="000000"/>
          <w:sz w:val="32"/>
          <w:szCs w:val="32"/>
          <w:highlight w:val="none"/>
          <w:lang w:eastAsia="zh-CN" w:bidi="ar"/>
        </w:rPr>
        <w:t>等</w:t>
      </w:r>
      <w:r>
        <w:rPr>
          <w:rFonts w:hint="eastAsia" w:ascii="仿宋" w:hAnsi="仿宋" w:eastAsia="仿宋" w:cs="仿宋"/>
          <w:color w:val="000000"/>
          <w:sz w:val="32"/>
          <w:szCs w:val="32"/>
          <w:highlight w:val="none"/>
          <w:lang w:bidi="ar"/>
        </w:rPr>
        <w:t>增加</w:t>
      </w:r>
      <w:r>
        <w:rPr>
          <w:rFonts w:hint="eastAsia" w:ascii="仿宋" w:hAnsi="仿宋" w:eastAsia="仿宋" w:cs="仿宋"/>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bookmarkStart w:id="101" w:name="_Toc30383_WPSOffice_Level2"/>
      <w:bookmarkStart w:id="102" w:name="_Toc13084_WPSOffice_Level2"/>
      <w:bookmarkStart w:id="103" w:name="_Toc32689_WPSOffice_Level2"/>
      <w:bookmarkStart w:id="104" w:name="_Toc25333_WPSOffice_Level2"/>
      <w:bookmarkStart w:id="105" w:name="_Toc3131_WPSOffice_Level2"/>
      <w:bookmarkStart w:id="106" w:name="_Toc23966_WPSOffice_Level2"/>
      <w:r>
        <w:rPr>
          <w:rFonts w:hint="eastAsia" w:ascii="仿宋" w:hAnsi="仿宋" w:eastAsia="仿宋" w:cs="仿宋"/>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2022年度</w:t>
      </w:r>
      <w:r>
        <w:rPr>
          <w:rFonts w:hint="eastAsia" w:ascii="仿宋" w:hAnsi="仿宋" w:eastAsia="仿宋" w:cs="仿宋"/>
          <w:color w:val="000000"/>
          <w:sz w:val="32"/>
          <w:szCs w:val="32"/>
          <w:highlight w:val="none"/>
          <w:lang w:eastAsia="zh-CN"/>
        </w:rPr>
        <w:t>本单位</w:t>
      </w:r>
      <w:r>
        <w:rPr>
          <w:rFonts w:hint="eastAsia" w:ascii="仿宋" w:hAnsi="仿宋" w:eastAsia="仿宋" w:cs="仿宋"/>
          <w:color w:val="000000"/>
          <w:sz w:val="32"/>
          <w:szCs w:val="32"/>
          <w:highlight w:val="none"/>
        </w:rPr>
        <w:t>政府采购支出总额</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万元，其中：政府采购货物支出</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万元、政府采购工程支出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万元、政府采购服务支出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万元。授予中小企业合同金额</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万元，占政府采购支出总额的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%，其中：授予小微企业合同金额</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万元，占</w:t>
      </w:r>
      <w:r>
        <w:rPr>
          <w:rFonts w:hint="eastAsia" w:ascii="仿宋" w:hAnsi="仿宋" w:eastAsia="仿宋" w:cs="仿宋"/>
          <w:color w:val="000000"/>
          <w:kern w:val="0"/>
          <w:sz w:val="32"/>
          <w:szCs w:val="32"/>
          <w:highlight w:val="none"/>
          <w:lang w:bidi="ar"/>
        </w:rPr>
        <w:t>授予中小企业合同金额</w:t>
      </w:r>
      <w:r>
        <w:rPr>
          <w:rFonts w:hint="eastAsia" w:ascii="仿宋" w:hAnsi="仿宋" w:eastAsia="仿宋" w:cs="仿宋"/>
          <w:color w:val="000000"/>
          <w:sz w:val="32"/>
          <w:szCs w:val="32"/>
          <w:highlight w:val="none"/>
        </w:rPr>
        <w:t>的</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highlight w:val="none"/>
        </w:rPr>
      </w:pPr>
      <w:bookmarkStart w:id="107" w:name="_Toc19989_WPSOffice_Level2"/>
      <w:bookmarkStart w:id="108" w:name="_Toc29584_WPSOffice_Level2"/>
      <w:bookmarkStart w:id="109" w:name="_Toc527_WPSOffice_Level2"/>
      <w:bookmarkStart w:id="110" w:name="_Toc15129_WPSOffice_Level2"/>
      <w:bookmarkStart w:id="111" w:name="_Toc6016_WPSOffice_Level2"/>
      <w:bookmarkStart w:id="112" w:name="_Toc10902_WPSOffice_Level2"/>
      <w:r>
        <w:rPr>
          <w:rFonts w:hint="eastAsia" w:ascii="仿宋" w:hAnsi="仿宋" w:eastAsia="仿宋" w:cs="仿宋"/>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截至2022年12月31日，本部门拥有</w:t>
      </w:r>
      <w:r>
        <w:rPr>
          <w:rFonts w:hint="eastAsia" w:ascii="仿宋" w:hAnsi="仿宋" w:eastAsia="仿宋" w:cs="仿宋"/>
          <w:color w:val="000000"/>
          <w:sz w:val="32"/>
          <w:szCs w:val="32"/>
          <w:highlight w:val="none"/>
        </w:rPr>
        <w:t>房屋面积</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平方米，其中：办公用房</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平方米，业务用房</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平方米，其他（不含构筑物）</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本部门共有车辆</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辆，其中，副部（省）级及以上领导用车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辆、主要领导干部用车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辆、机要通信用车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辆、应急保障用车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辆、执法执勤用车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辆、特种专业技术用车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辆、离退休干部用车</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辆、其他用车</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辆，</w:t>
      </w:r>
      <w:r>
        <w:rPr>
          <w:rFonts w:hint="default" w:ascii="仿宋_GB2312" w:hAnsi="ˎ̥" w:eastAsia="仿宋_GB2312" w:cs="仿宋_GB2312"/>
          <w:sz w:val="32"/>
          <w:szCs w:val="32"/>
        </w:rPr>
        <w:t>其他用车主要是</w:t>
      </w:r>
      <w:r>
        <w:rPr>
          <w:rFonts w:hint="eastAsia" w:ascii="仿宋_GB2312" w:hAnsi="ˎ̥" w:eastAsia="仿宋_GB2312" w:cs="仿宋_GB2312"/>
          <w:sz w:val="32"/>
          <w:szCs w:val="32"/>
          <w:lang w:eastAsia="zh-CN"/>
        </w:rPr>
        <w:t>日常工作用车</w:t>
      </w:r>
      <w:r>
        <w:rPr>
          <w:rFonts w:hint="eastAsia" w:ascii="仿宋" w:hAnsi="仿宋" w:eastAsia="仿宋" w:cs="仿宋"/>
          <w:color w:val="000000"/>
          <w:sz w:val="32"/>
          <w:szCs w:val="32"/>
          <w:highlight w:val="none"/>
        </w:rPr>
        <w:t>。单价100万元（含）以上设备（不含车辆）</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年末在建工程</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bookmarkStart w:id="113" w:name="_Toc15425_WPSOffice_Level1"/>
      <w:bookmarkStart w:id="114" w:name="_Toc11039_WPSOffice_Level1"/>
      <w:bookmarkStart w:id="115" w:name="_Toc8874_WPSOffice_Level1"/>
      <w:bookmarkStart w:id="116" w:name="_Toc4398_WPSOffice_Level1"/>
      <w:bookmarkStart w:id="117" w:name="_Toc17580_WPSOffice_Level1"/>
      <w:bookmarkStart w:id="118" w:name="_Toc880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highlight w:val="none"/>
        </w:rPr>
      </w:pP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highlight w:val="none"/>
        </w:rPr>
      </w:pPr>
      <w:bookmarkStart w:id="119" w:name="_GoBack"/>
      <w:bookmarkEnd w:id="119"/>
    </w:p>
    <w:p>
      <w:pPr>
        <w:rPr>
          <w:rFonts w:hint="eastAsia" w:ascii="仿宋" w:hAnsi="仿宋" w:eastAsia="仿宋" w:cs="仿宋"/>
        </w:rPr>
      </w:pP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rPr>
                              <w:rStyle w:val="6"/>
                            </w:rPr>
                            <w:t xml:space="preserve">— </w:t>
                          </w:r>
                          <w:r>
                            <w:rPr>
                              <w:rStyle w:val="6"/>
                            </w:rPr>
                            <w:fldChar w:fldCharType="begin"/>
                          </w:r>
                          <w:r>
                            <w:rPr>
                              <w:rStyle w:val="6"/>
                            </w:rPr>
                            <w:instrText xml:space="preserve"> PAGE  \* MERGEFORMAT </w:instrText>
                          </w:r>
                          <w:r>
                            <w:rPr>
                              <w:rStyle w:val="6"/>
                            </w:rPr>
                            <w:fldChar w:fldCharType="separate"/>
                          </w:r>
                          <w:r>
                            <w:rPr>
                              <w:rStyle w:val="6"/>
                            </w:rPr>
                            <w:t>1</w:t>
                          </w:r>
                          <w:r>
                            <w:rPr>
                              <w:rStyle w:val="6"/>
                            </w:rPr>
                            <w:fldChar w:fldCharType="end"/>
                          </w:r>
                          <w:r>
                            <w:rPr>
                              <w:rStyle w:val="6"/>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2"/>
                      <w:rPr>
                        <w:rStyle w:val="6"/>
                      </w:rPr>
                    </w:pPr>
                    <w:r>
                      <w:rPr>
                        <w:rStyle w:val="6"/>
                      </w:rPr>
                      <w:t xml:space="preserve">— </w:t>
                    </w:r>
                    <w:r>
                      <w:rPr>
                        <w:rStyle w:val="6"/>
                      </w:rPr>
                      <w:fldChar w:fldCharType="begin"/>
                    </w:r>
                    <w:r>
                      <w:rPr>
                        <w:rStyle w:val="6"/>
                      </w:rPr>
                      <w:instrText xml:space="preserve"> PAGE  \* MERGEFORMAT </w:instrText>
                    </w:r>
                    <w:r>
                      <w:rPr>
                        <w:rStyle w:val="6"/>
                      </w:rPr>
                      <w:fldChar w:fldCharType="separate"/>
                    </w:r>
                    <w:r>
                      <w:rPr>
                        <w:rStyle w:val="6"/>
                      </w:rPr>
                      <w:t>1</w:t>
                    </w:r>
                    <w:r>
                      <w:rPr>
                        <w:rStyle w:val="6"/>
                      </w:rPr>
                      <w:fldChar w:fldCharType="end"/>
                    </w:r>
                    <w:r>
                      <w:rPr>
                        <w:rStyle w:val="6"/>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A4805"/>
    <w:multiLevelType w:val="singleLevel"/>
    <w:tmpl w:val="82FA4805"/>
    <w:lvl w:ilvl="0" w:tentative="0">
      <w:start w:val="1"/>
      <w:numFmt w:val="decimal"/>
      <w:lvlText w:val="%1."/>
      <w:lvlJc w:val="left"/>
      <w:pPr>
        <w:tabs>
          <w:tab w:val="left" w:pos="312"/>
        </w:tabs>
      </w:p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DE4AA533"/>
    <w:multiLevelType w:val="singleLevel"/>
    <w:tmpl w:val="DE4AA533"/>
    <w:lvl w:ilvl="0" w:tentative="0">
      <w:start w:val="1"/>
      <w:numFmt w:val="chineseCounting"/>
      <w:suff w:val="nothing"/>
      <w:lvlText w:val="%1、"/>
      <w:lvlJc w:val="left"/>
      <w:rPr>
        <w:rFonts w:hint="eastAsia"/>
      </w:rPr>
    </w:lvl>
  </w:abstractNum>
  <w:abstractNum w:abstractNumId="3">
    <w:nsid w:val="2CCBE8DB"/>
    <w:multiLevelType w:val="singleLevel"/>
    <w:tmpl w:val="2CCBE8DB"/>
    <w:lvl w:ilvl="0" w:tentative="0">
      <w:start w:val="4"/>
      <w:numFmt w:val="decimal"/>
      <w:lvlText w:val="%1."/>
      <w:lvlJc w:val="left"/>
      <w:pPr>
        <w:tabs>
          <w:tab w:val="left" w:pos="312"/>
        </w:tabs>
      </w:pPr>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YmY5NWYwNmRiZWI0YjliODIwYzZlNTE2MGUxMjMifQ=="/>
  </w:docVars>
  <w:rsids>
    <w:rsidRoot w:val="79A70A6E"/>
    <w:rsid w:val="07867ED0"/>
    <w:rsid w:val="0D860C71"/>
    <w:rsid w:val="1B43468E"/>
    <w:rsid w:val="57BE1FF7"/>
    <w:rsid w:val="667D2312"/>
    <w:rsid w:val="79A7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2023-09-25T21:18:00Z</dcterms:created>
  <dc:creator>Administrator</dc:creator>
  <cp:lastModifiedBy>lenovo</cp:lastModifiedBy>
  <dcterms:modified xsi:type="dcterms:W3CDTF">2023-10-11T10:42:14Z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4E1C9360CD13446694A8D90BD4A35244_11</vt:lpwstr>
  </property>
</Properties>
</file>